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26842730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92" cy="7114082"/>
            <wp:effectExtent l="0" t="0" r="0" b="0"/>
            <wp:wrapNone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71140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.0pt;margin-top:612.403992pt;width:595.3pt;height:229.5pt;mso-position-horizontal-relative:page;mso-position-vertical-relative:page;z-index:1096" coordorigin="0,12248" coordsize="11906,4590">
            <v:shape style="position:absolute;left:0;top:12248;width:2722;height:1782" coordorigin="0,12248" coordsize="2722,1782" path="m2721,13250l0,13250,0,14029,2721,14029,2721,13250m2721,12248l0,12248,0,13028,2721,13028,2721,12248e" filled="true" fillcolor="#be1e2d" stroked="false">
              <v:path arrowok="t"/>
              <v:fill type="solid"/>
            </v:shape>
            <v:shape style="position:absolute;left:0;top:13027;width:11906;height:3811" coordorigin="0,13028" coordsize="11906,3811" path="m11906,13028l0,14870,0,16838,11906,16838,11906,13028xe" filled="true" fillcolor="#cf202e" stroked="false">
              <v:path arrowok="t"/>
              <v:fill type="solid"/>
            </v:shape>
            <v:shape style="position:absolute;left:10866;top:15731;width:65;height:62" coordorigin="10867,15731" coordsize="65,62" path="m10899,15731l10899,15731,10887,15734,10876,15740,10869,15750,10867,15761,10867,15763,10869,15774,10876,15784,10887,15791,10899,15793,10912,15791,10916,15788,10885,15788,10873,15777,10873,15748,10885,15736,10916,15736,10912,15734,10899,15731xm10916,15736l10914,15736,10926,15748,10926,15777,10914,15788,10916,15788,10922,15784,10929,15774,10932,15763,10932,15761,10929,15750,10922,15740,10916,15736xm10903,15745l10893,15745,10890,15745,10887,15746,10887,15780,10893,15780,10893,15765,10910,15765,10909,15764,10905,15763,10905,15763,10909,15762,10910,15761,10893,15761,10893,15749,10896,15749,10911,15749,10911,15749,10907,15746,10903,15745xm10910,15765l10902,15765,10904,15767,10905,15772,10906,15776,10907,15779,10908,15780,10914,15780,10913,15779,10912,15777,10911,15771,10911,15766,10910,15765xm10911,15749l10904,15749,10906,15752,10906,15759,10902,15761,10910,15761,10913,15759,10913,15751,10911,15749xe" filled="true" fillcolor="#ffffff" stroked="false">
              <v:path arrowok="t"/>
              <v:fill type="solid"/>
            </v:shape>
            <v:shape style="position:absolute;left:9196;top:15346;width:294;height:329" type="#_x0000_t75" stroked="false">
              <v:imagedata r:id="rId6" o:title=""/>
            </v:shape>
            <v:shape style="position:absolute;left:9541;top:15347;width:190;height:322" type="#_x0000_t75" stroked="false">
              <v:imagedata r:id="rId7" o:title=""/>
            </v:shape>
            <v:shape style="position:absolute;left:9751;top:15346;width:500;height:323" coordorigin="9751,15347" coordsize="500,323" path="m9894,15347l9852,15348,9814,15353,9782,15360,9751,15370,9751,15669,9854,15669,9854,15410,9863,15408,9872,15406,9883,15405,9895,15405,10240,15405,10221,15379,10007,15379,9989,15366,9965,15356,9934,15349,9894,15347xm10097,15405l9895,15405,9919,15408,9936,15416,9947,15429,9950,15446,9950,15669,10053,15669,10053,15420,10062,15413,10073,15408,10085,15405,10097,15405xm10240,15405l10097,15405,10120,15408,10136,15417,10146,15431,10149,15447,10149,15669,10251,15669,10251,15447,10243,15408,10240,15405xm10124,15347l10084,15350,10052,15356,10026,15367,10007,15379,10221,15379,10219,15376,10179,15355,10124,15347xe" filled="true" fillcolor="#ffffff" stroked="false">
              <v:path arrowok="t"/>
              <v:fill type="solid"/>
            </v:shape>
            <v:shape style="position:absolute;left:10302;top:15352;width:297;height:323" type="#_x0000_t75" stroked="false">
              <v:imagedata r:id="rId8" o:title=""/>
            </v:shape>
            <v:shape style="position:absolute;left:8664;top:15242;width:2296;height:554" coordorigin="8664,15242" coordsize="2296,554" path="m10956,15242l9117,15242,9065,15492,9062,15510,9059,15525,9058,15536,9058,15540,9056,15540,9055,15525,9053,15516,9051,15506,9048,15492,9025,15399,8986,15242,8906,15242,8843,15492,8839,15510,8836,15525,8834,15536,8834,15540,8832,15540,8831,15526,8830,15516,8828,15506,8825,15492,8775,15242,8664,15242,8772,15669,8872,15669,8906,15540,8932,15445,8936,15428,8939,15413,8940,15403,8940,15399,8942,15399,8944,15413,8945,15422,8947,15431,8951,15445,9013,15669,9112,15669,9144,15540,9207,15291,10956,15291,10956,15242m10959,15509l10947,15439,10921,15401,10912,15388,10858,15358,10858,15510,10854,15557,10839,15592,10815,15612,10779,15620,10768,15620,10759,15618,10753,15615,10753,15406,10761,15403,10770,15401,10784,15401,10819,15408,10842,15429,10854,15463,10858,15510,10858,15358,10857,15357,10785,15347,10742,15349,10705,15354,10675,15361,10650,15370,10650,15796,10753,15796,10753,15668,10762,15670,10774,15672,10788,15673,10804,15674,10833,15668,10867,15662,10916,15629,10922,15620,10948,15578,10959,15509e" filled="true" fillcolor="#ffffff" stroked="false">
              <v:path arrowok="t"/>
              <v:fill type="solid"/>
            </v:shape>
            <v:shape style="position:absolute;left:8666;top:15898;width:2300;height:124" type="#_x0000_t75" stroked="false">
              <v:imagedata r:id="rId9" o:title=""/>
            </v:shape>
            <v:shape style="position:absolute;left:8700;top:14169;width:119;height:234" type="#_x0000_t75" stroked="false">
              <v:imagedata r:id="rId10" o:title=""/>
            </v:shape>
            <v:shape style="position:absolute;left:8706;top:14136;width:2079;height:682" type="#_x0000_t75" stroked="false">
              <v:imagedata r:id="rId11" o:title=""/>
            </v:shape>
            <v:shape style="position:absolute;left:8678;top:12789;width:1430;height:1236" coordorigin="8678,12790" coordsize="1430,1236" path="m10107,13198l10096,13167,10096,13231,10096,13232,10082,13247,10063,13260,10096,13231,10096,13167,9498,12816,9401,12791,9401,13606,9343,13599,9291,13580,8728,13260,8708,13246,8694,13231,8728,13260,9291,13580,9343,13599,9401,13606,9401,12791,9330,12796,8726,13135,8693,13163,8693,13231,8693,13230,8684,13214,8682,13198,8693,13231,8693,13163,8692,13164,8682,13197,8682,13196,8678,13616,8681,13633,8690,13650,9288,13999,9398,14025,9456,14019,10060,13680,10101,13635,10107,13199,10105,13215,10097,13230,10107,13198e" filled="true" fillcolor="#d8cfc0" stroked="false">
              <v:path arrowok="t"/>
              <v:fill type="solid"/>
            </v:shape>
            <v:shape style="position:absolute;left:8682;top:12783;width:1426;height:822" coordorigin="8683,12784" coordsize="1426,822" path="m8729,13260l8729,13254,8722,13250,8716,13246,8711,13242,8705,13237,8701,13232,8697,13227,8694,13223,8691,13219,8689,13215,8689,13215,8689,13215,8687,13212,8687,13217,8689,13220,8694,13229,8697,13233,8703,13240,8711,13247,8715,13250,8729,13260m9292,13573l8729,13254,8729,13260,8729,13260,9292,13579,9292,13573m10109,13192l10097,13158,10062,13129,9499,12810,9448,12790,9389,12784,9331,12790,9280,12810,8727,13129,8694,13158,8683,13191,8695,13225,8729,13254,8729,13254,8729,13254,9292,13573,9292,13573,9293,13573,9343,13593,9332,13590,9318,13585,9305,13580,9293,13573,9293,13579,9343,13598,9345,13599,9347,13599,9375,13602,9397,13604,9402,13605,9418,13603,9418,13600,9418,13603,9438,13601,9458,13599,9460,13599,9481,13591,9511,13579,9511,13574,9502,13579,9492,13583,9481,13587,9474,13590,9466,13592,9458,13594,9452,13595,9445,13596,9438,13597,9431,13598,9424,13599,9418,13599,9411,13599,9404,13600,9397,13599,9390,13599,9382,13599,9375,13598,9375,13598,9375,13598,9365,13597,9356,13596,9347,13594,9347,13594,9347,13594,9345,13593,9402,13599,9460,13593,9511,13574,9511,13579,10064,13260,10064,13254,10064,13254,10098,13225,10098,13225,10084,13241,10064,13254,10064,13260,10084,13246,10097,13231,10106,13215,10109,13198,10109,13193,10106,13209,10098,13224,10109,13192e" filled="true" fillcolor="#ffffff" stroked="false">
              <v:path arrowok="t"/>
              <v:fill type="solid"/>
            </v:shape>
            <v:shape style="position:absolute;left:8955;top:13028;width:875;height:330" coordorigin="8955,13028" coordsize="875,330" path="m9784,13029l9114,13079,9113,13079,9103,13079,9094,13082,9086,13086,9078,13094,9075,13102,9078,13111,9087,13119,9088,13120,9090,13120,9092,13121,9267,13221,8985,13315,8964,13320,8955,13324,8957,13332,8968,13346,8970,13348,8972,13350,8986,13358,9002,13358,9681,13311,9697,13310,9707,13300,9709,13299,9711,13297,9712,13295,9712,13294,9713,13293,9717,13287,9714,13281,9710,13277,9708,13275,9706,13273,9701,13270,9699,13269,9699,13269,9524,13170,9813,13071,9813,13071,9814,13071,9815,13070,9817,13069,9818,13069,9827,13061,9830,13052,9827,13043,9818,13036,9808,13030,9801,13029,9784,13029,9784,13029xm9796,13028l9784,13029,9801,13029,9796,13028xe" filled="true" fillcolor="#e27c3a" stroked="false">
              <v:path arrowok="t"/>
              <v:fill typ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585;top:12365;width:1479;height:1587" type="#_x0000_t202" filled="false" stroked="false">
              <v:textbox inset="0,0,0,0">
                <w:txbxContent>
                  <w:p>
                    <w:pPr>
                      <w:spacing w:line="600" w:lineRule="exact" w:before="0"/>
                      <w:ind w:left="0" w:right="0" w:firstLine="0"/>
                      <w:jc w:val="left"/>
                      <w:rPr>
                        <w:rFonts w:ascii="Dax Offc"/>
                        <w:sz w:val="48"/>
                      </w:rPr>
                    </w:pPr>
                    <w:r>
                      <w:rPr>
                        <w:rFonts w:ascii="Dax Offc"/>
                        <w:color w:val="FFFFFF"/>
                        <w:sz w:val="48"/>
                      </w:rPr>
                      <w:t>CARPET</w:t>
                    </w:r>
                  </w:p>
                  <w:p>
                    <w:pPr>
                      <w:spacing w:before="380"/>
                      <w:ind w:left="0" w:right="0" w:firstLine="0"/>
                      <w:jc w:val="left"/>
                      <w:rPr>
                        <w:rFonts w:ascii="Dax Offc" w:hAnsi="Dax Offc"/>
                        <w:sz w:val="48"/>
                      </w:rPr>
                    </w:pPr>
                    <w:r>
                      <w:rPr>
                        <w:rFonts w:ascii="Dax Offc" w:hAnsi="Dax Offc"/>
                        <w:color w:val="FFFFFF"/>
                        <w:sz w:val="48"/>
                      </w:rPr>
                      <w:t>LVT’S</w:t>
                    </w:r>
                  </w:p>
                </w:txbxContent>
              </v:textbox>
              <w10:wrap type="none"/>
            </v:shape>
            <v:shape style="position:absolute;left:989;top:15093;width:6454;height:1051" type="#_x0000_t202" filled="false" stroked="false">
              <v:textbox inset="0,0,0,0">
                <w:txbxContent>
                  <w:p>
                    <w:pPr>
                      <w:spacing w:line="425" w:lineRule="exact" w:before="0"/>
                      <w:ind w:left="0" w:right="0" w:firstLine="0"/>
                      <w:jc w:val="left"/>
                      <w:rPr>
                        <w:rFonts w:ascii="Dax Offc"/>
                        <w:sz w:val="34"/>
                      </w:rPr>
                    </w:pPr>
                    <w:r>
                      <w:rPr>
                        <w:rFonts w:ascii="Dax Offc"/>
                        <w:color w:val="FFFFFF"/>
                        <w:spacing w:val="-5"/>
                        <w:sz w:val="34"/>
                      </w:rPr>
                      <w:t>US +1 </w:t>
                    </w:r>
                    <w:r>
                      <w:rPr>
                        <w:rFonts w:ascii="Dax Offc"/>
                        <w:color w:val="FFFFFF"/>
                        <w:spacing w:val="-8"/>
                        <w:sz w:val="34"/>
                      </w:rPr>
                      <w:t>(888) 927-6333 </w:t>
                    </w:r>
                    <w:r>
                      <w:rPr>
                        <w:rFonts w:ascii="Dax Offc"/>
                        <w:color w:val="FFFFFF"/>
                        <w:sz w:val="34"/>
                      </w:rPr>
                      <w:t>/ CA </w:t>
                    </w:r>
                    <w:r>
                      <w:rPr>
                        <w:rFonts w:ascii="Dax Offc"/>
                        <w:color w:val="FFFFFF"/>
                        <w:spacing w:val="-5"/>
                        <w:sz w:val="34"/>
                      </w:rPr>
                      <w:t>1+ </w:t>
                    </w:r>
                    <w:r>
                      <w:rPr>
                        <w:rFonts w:ascii="Dax Offc"/>
                        <w:color w:val="FFFFFF"/>
                        <w:spacing w:val="-8"/>
                        <w:sz w:val="34"/>
                      </w:rPr>
                      <w:t>(888) </w:t>
                    </w:r>
                    <w:r>
                      <w:rPr>
                        <w:rFonts w:ascii="Dax Offc"/>
                        <w:color w:val="FFFFFF"/>
                        <w:spacing w:val="-9"/>
                        <w:sz w:val="34"/>
                      </w:rPr>
                      <w:t>592-7687</w:t>
                    </w:r>
                  </w:p>
                  <w:p>
                    <w:pPr>
                      <w:spacing w:before="20"/>
                      <w:ind w:left="0" w:right="0" w:firstLine="0"/>
                      <w:jc w:val="left"/>
                      <w:rPr>
                        <w:rFonts w:ascii="Dax Offc"/>
                        <w:sz w:val="22"/>
                      </w:rPr>
                    </w:pPr>
                    <w:hyperlink r:id="rId12">
                      <w:r>
                        <w:rPr>
                          <w:rFonts w:ascii="Dax Offc"/>
                          <w:color w:val="FFFFFF"/>
                          <w:sz w:val="22"/>
                        </w:rPr>
                        <w:t>ussales@warmup.com</w:t>
                      </w:r>
                    </w:hyperlink>
                  </w:p>
                  <w:p>
                    <w:pPr>
                      <w:spacing w:before="49"/>
                      <w:ind w:left="0" w:right="0" w:firstLine="0"/>
                      <w:jc w:val="left"/>
                      <w:rPr>
                        <w:rFonts w:ascii="Dax Offc"/>
                        <w:sz w:val="22"/>
                      </w:rPr>
                    </w:pPr>
                    <w:hyperlink r:id="rId13">
                      <w:r>
                        <w:rPr>
                          <w:rFonts w:ascii="Dax Offc"/>
                          <w:color w:val="FFFFFF"/>
                          <w:sz w:val="22"/>
                        </w:rPr>
                        <w:t>www.warmup.com </w:t>
                      </w:r>
                    </w:hyperlink>
                    <w:r>
                      <w:rPr>
                        <w:rFonts w:ascii="Dax Offc"/>
                        <w:color w:val="FFFFFF"/>
                        <w:sz w:val="22"/>
                      </w:rPr>
                      <w:t>/ </w:t>
                    </w:r>
                    <w:hyperlink r:id="rId14">
                      <w:r>
                        <w:rPr>
                          <w:rFonts w:ascii="Dax Offc"/>
                          <w:color w:val="FFFFFF"/>
                          <w:sz w:val="22"/>
                        </w:rPr>
                        <w:t>www.warmup.ca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17"/>
        </w:rPr>
      </w:pPr>
    </w:p>
    <w:p>
      <w:pPr>
        <w:pStyle w:val="Heading1"/>
        <w:tabs>
          <w:tab w:pos="585" w:val="left" w:leader="none"/>
          <w:tab w:pos="7256" w:val="left" w:leader="none"/>
        </w:tabs>
        <w:spacing w:before="96"/>
        <w:ind w:left="0"/>
      </w:pPr>
      <w:r>
        <w:rPr>
          <w:color w:val="FFFFFF"/>
          <w:shd w:fill="E27C3A" w:color="auto" w:val="clear"/>
        </w:rPr>
        <w:t> </w:t>
        <w:tab/>
        <w:t>ELECTRIC RADIANT FOIL</w:t>
      </w:r>
      <w:r>
        <w:rPr>
          <w:color w:val="FFFFFF"/>
          <w:spacing w:val="-35"/>
          <w:shd w:fill="E27C3A" w:color="auto" w:val="clear"/>
        </w:rPr>
        <w:t> </w:t>
      </w:r>
      <w:r>
        <w:rPr>
          <w:color w:val="FFFFFF"/>
          <w:shd w:fill="E27C3A" w:color="auto" w:val="clear"/>
        </w:rPr>
        <w:t>SYSTEM</w:t>
        <w:tab/>
      </w:r>
    </w:p>
    <w:p>
      <w:pPr>
        <w:pStyle w:val="BodyText"/>
        <w:rPr>
          <w:rFonts w:ascii="Dax Offc Medium"/>
          <w:sz w:val="20"/>
        </w:rPr>
      </w:pPr>
    </w:p>
    <w:p>
      <w:pPr>
        <w:pStyle w:val="BodyText"/>
        <w:rPr>
          <w:rFonts w:ascii="Dax Offc Medium"/>
          <w:sz w:val="20"/>
        </w:rPr>
      </w:pPr>
    </w:p>
    <w:p>
      <w:pPr>
        <w:pStyle w:val="BodyText"/>
        <w:rPr>
          <w:rFonts w:ascii="Dax Offc Medium"/>
          <w:sz w:val="20"/>
        </w:rPr>
      </w:pPr>
    </w:p>
    <w:p>
      <w:pPr>
        <w:pStyle w:val="BodyText"/>
        <w:rPr>
          <w:rFonts w:ascii="Dax Offc Medium"/>
          <w:sz w:val="20"/>
        </w:rPr>
      </w:pPr>
    </w:p>
    <w:p>
      <w:pPr>
        <w:pStyle w:val="BodyText"/>
        <w:rPr>
          <w:rFonts w:ascii="Dax Offc Medium"/>
          <w:sz w:val="20"/>
        </w:rPr>
      </w:pPr>
    </w:p>
    <w:p>
      <w:pPr>
        <w:pStyle w:val="BodyText"/>
        <w:rPr>
          <w:rFonts w:ascii="Dax Offc Medium"/>
          <w:sz w:val="20"/>
        </w:rPr>
      </w:pPr>
    </w:p>
    <w:p>
      <w:pPr>
        <w:pStyle w:val="BodyText"/>
        <w:rPr>
          <w:rFonts w:ascii="Dax Offc Medium"/>
          <w:sz w:val="20"/>
        </w:rPr>
      </w:pPr>
    </w:p>
    <w:p>
      <w:pPr>
        <w:pStyle w:val="BodyText"/>
        <w:rPr>
          <w:rFonts w:ascii="Dax Offc Medium"/>
          <w:sz w:val="20"/>
        </w:rPr>
      </w:pPr>
    </w:p>
    <w:p>
      <w:pPr>
        <w:pStyle w:val="BodyText"/>
        <w:rPr>
          <w:rFonts w:ascii="Dax Offc Medium"/>
          <w:sz w:val="20"/>
        </w:rPr>
      </w:pPr>
    </w:p>
    <w:p>
      <w:pPr>
        <w:pStyle w:val="BodyText"/>
        <w:rPr>
          <w:rFonts w:ascii="Dax Offc Medium"/>
          <w:sz w:val="20"/>
        </w:rPr>
      </w:pPr>
    </w:p>
    <w:p>
      <w:pPr>
        <w:pStyle w:val="BodyText"/>
        <w:rPr>
          <w:rFonts w:ascii="Dax Offc Medium"/>
          <w:sz w:val="20"/>
        </w:rPr>
      </w:pPr>
    </w:p>
    <w:p>
      <w:pPr>
        <w:pStyle w:val="BodyText"/>
        <w:rPr>
          <w:rFonts w:ascii="Dax Offc Medium"/>
          <w:sz w:val="20"/>
        </w:rPr>
      </w:pPr>
    </w:p>
    <w:p>
      <w:pPr>
        <w:pStyle w:val="BodyText"/>
        <w:rPr>
          <w:rFonts w:ascii="Dax Offc Medium"/>
          <w:sz w:val="20"/>
        </w:rPr>
      </w:pPr>
    </w:p>
    <w:p>
      <w:pPr>
        <w:pStyle w:val="BodyText"/>
        <w:rPr>
          <w:rFonts w:ascii="Dax Offc Medium"/>
          <w:sz w:val="20"/>
        </w:rPr>
      </w:pPr>
    </w:p>
    <w:p>
      <w:pPr>
        <w:pStyle w:val="BodyText"/>
        <w:rPr>
          <w:rFonts w:ascii="Dax Offc Medium"/>
          <w:sz w:val="20"/>
        </w:rPr>
      </w:pPr>
    </w:p>
    <w:p>
      <w:pPr>
        <w:pStyle w:val="BodyText"/>
        <w:rPr>
          <w:rFonts w:ascii="Dax Offc Medium"/>
          <w:sz w:val="20"/>
        </w:rPr>
      </w:pPr>
    </w:p>
    <w:p>
      <w:pPr>
        <w:pStyle w:val="BodyText"/>
        <w:rPr>
          <w:rFonts w:ascii="Dax Offc Medium"/>
          <w:sz w:val="20"/>
        </w:rPr>
      </w:pPr>
    </w:p>
    <w:p>
      <w:pPr>
        <w:pStyle w:val="BodyText"/>
        <w:rPr>
          <w:rFonts w:ascii="Dax Offc Medium"/>
          <w:sz w:val="20"/>
        </w:rPr>
      </w:pPr>
    </w:p>
    <w:p>
      <w:pPr>
        <w:pStyle w:val="BodyText"/>
        <w:rPr>
          <w:rFonts w:ascii="Dax Offc Medium"/>
          <w:sz w:val="20"/>
        </w:rPr>
      </w:pPr>
    </w:p>
    <w:p>
      <w:pPr>
        <w:pStyle w:val="BodyText"/>
        <w:rPr>
          <w:rFonts w:ascii="Dax Offc Medium"/>
          <w:sz w:val="20"/>
        </w:rPr>
      </w:pPr>
    </w:p>
    <w:p>
      <w:pPr>
        <w:pStyle w:val="BodyText"/>
        <w:rPr>
          <w:rFonts w:ascii="Dax Offc Medium"/>
          <w:sz w:val="20"/>
        </w:rPr>
      </w:pPr>
    </w:p>
    <w:p>
      <w:pPr>
        <w:pStyle w:val="BodyText"/>
        <w:rPr>
          <w:rFonts w:ascii="Dax Offc Medium"/>
          <w:sz w:val="20"/>
        </w:rPr>
      </w:pPr>
    </w:p>
    <w:p>
      <w:pPr>
        <w:pStyle w:val="BodyText"/>
        <w:rPr>
          <w:rFonts w:ascii="Dax Offc Medium"/>
          <w:sz w:val="20"/>
        </w:rPr>
      </w:pPr>
    </w:p>
    <w:p>
      <w:pPr>
        <w:pStyle w:val="BodyText"/>
        <w:rPr>
          <w:rFonts w:ascii="Dax Offc Medium"/>
          <w:sz w:val="20"/>
        </w:rPr>
      </w:pPr>
    </w:p>
    <w:p>
      <w:pPr>
        <w:pStyle w:val="BodyText"/>
        <w:rPr>
          <w:rFonts w:ascii="Dax Offc Medium"/>
          <w:sz w:val="20"/>
        </w:rPr>
      </w:pPr>
    </w:p>
    <w:p>
      <w:pPr>
        <w:pStyle w:val="BodyText"/>
        <w:rPr>
          <w:rFonts w:ascii="Dax Offc Medium"/>
          <w:sz w:val="20"/>
        </w:rPr>
      </w:pPr>
    </w:p>
    <w:p>
      <w:pPr>
        <w:pStyle w:val="BodyText"/>
        <w:rPr>
          <w:rFonts w:ascii="Dax Offc Medium"/>
          <w:sz w:val="20"/>
        </w:rPr>
      </w:pPr>
    </w:p>
    <w:p>
      <w:pPr>
        <w:pStyle w:val="BodyText"/>
        <w:rPr>
          <w:rFonts w:ascii="Dax Offc Medium"/>
          <w:sz w:val="20"/>
        </w:rPr>
      </w:pPr>
    </w:p>
    <w:p>
      <w:pPr>
        <w:pStyle w:val="BodyText"/>
        <w:rPr>
          <w:rFonts w:ascii="Dax Offc Medium"/>
          <w:sz w:val="20"/>
        </w:rPr>
      </w:pPr>
    </w:p>
    <w:p>
      <w:pPr>
        <w:pStyle w:val="BodyText"/>
        <w:rPr>
          <w:rFonts w:ascii="Dax Offc Medium"/>
          <w:sz w:val="20"/>
        </w:rPr>
      </w:pPr>
    </w:p>
    <w:p>
      <w:pPr>
        <w:pStyle w:val="BodyText"/>
        <w:rPr>
          <w:rFonts w:ascii="Dax Offc Medium"/>
          <w:sz w:val="20"/>
        </w:rPr>
      </w:pPr>
    </w:p>
    <w:p>
      <w:pPr>
        <w:pStyle w:val="BodyText"/>
        <w:rPr>
          <w:rFonts w:ascii="Dax Offc Medium"/>
          <w:sz w:val="20"/>
        </w:rPr>
      </w:pPr>
    </w:p>
    <w:p>
      <w:pPr>
        <w:pStyle w:val="BodyText"/>
        <w:rPr>
          <w:rFonts w:ascii="Dax Offc Medium"/>
          <w:sz w:val="20"/>
        </w:rPr>
      </w:pPr>
    </w:p>
    <w:p>
      <w:pPr>
        <w:pStyle w:val="BodyText"/>
        <w:spacing w:before="8"/>
        <w:rPr>
          <w:rFonts w:ascii="Dax Offc Medium"/>
          <w:sz w:val="28"/>
        </w:rPr>
      </w:pPr>
    </w:p>
    <w:p>
      <w:pPr>
        <w:tabs>
          <w:tab w:pos="585" w:val="left" w:leader="none"/>
          <w:tab w:pos="6406" w:val="left" w:leader="none"/>
        </w:tabs>
        <w:spacing w:before="95"/>
        <w:ind w:left="0" w:right="0" w:firstLine="0"/>
        <w:jc w:val="left"/>
        <w:rPr>
          <w:rFonts w:ascii="Dax Offc"/>
          <w:sz w:val="48"/>
        </w:rPr>
      </w:pPr>
      <w:r>
        <w:rPr>
          <w:rFonts w:ascii="Dax Offc"/>
          <w:color w:val="FFFFFF"/>
          <w:sz w:val="48"/>
          <w:shd w:fill="BE1E2D" w:color="auto" w:val="clear"/>
        </w:rPr>
        <w:t> </w:t>
        <w:tab/>
        <w:t>FOR </w:t>
      </w:r>
      <w:r>
        <w:rPr>
          <w:rFonts w:ascii="Dax Offc"/>
          <w:color w:val="FFFFFF"/>
          <w:spacing w:val="-3"/>
          <w:sz w:val="48"/>
          <w:shd w:fill="BE1E2D" w:color="auto" w:val="clear"/>
        </w:rPr>
        <w:t>FLOOR </w:t>
      </w:r>
      <w:r>
        <w:rPr>
          <w:rFonts w:ascii="Dax Offc"/>
          <w:color w:val="FFFFFF"/>
          <w:spacing w:val="-4"/>
          <w:sz w:val="48"/>
          <w:shd w:fill="BE1E2D" w:color="auto" w:val="clear"/>
        </w:rPr>
        <w:t>HEATING</w:t>
      </w:r>
      <w:r>
        <w:rPr>
          <w:rFonts w:ascii="Dax Offc"/>
          <w:color w:val="FFFFFF"/>
          <w:spacing w:val="5"/>
          <w:sz w:val="48"/>
          <w:shd w:fill="BE1E2D" w:color="auto" w:val="clear"/>
        </w:rPr>
        <w:t> </w:t>
      </w:r>
      <w:r>
        <w:rPr>
          <w:rFonts w:ascii="Dax Offc"/>
          <w:color w:val="FFFFFF"/>
          <w:sz w:val="48"/>
          <w:shd w:fill="BE1E2D" w:color="auto" w:val="clear"/>
        </w:rPr>
        <w:t>UNDER</w:t>
        <w:tab/>
      </w:r>
    </w:p>
    <w:p>
      <w:pPr>
        <w:tabs>
          <w:tab w:pos="585" w:val="left" w:leader="none"/>
          <w:tab w:pos="5801" w:val="left" w:leader="none"/>
        </w:tabs>
        <w:spacing w:before="300"/>
        <w:ind w:left="0" w:right="0" w:firstLine="0"/>
        <w:jc w:val="left"/>
        <w:rPr>
          <w:rFonts w:ascii="Dax Offc"/>
          <w:sz w:val="48"/>
        </w:rPr>
      </w:pPr>
      <w:r>
        <w:rPr>
          <w:rFonts w:ascii="Dax Offc"/>
          <w:color w:val="FFFFFF"/>
          <w:sz w:val="48"/>
          <w:shd w:fill="BE1E2D" w:color="auto" w:val="clear"/>
        </w:rPr>
        <w:t> </w:t>
        <w:tab/>
      </w:r>
      <w:r>
        <w:rPr>
          <w:rFonts w:ascii="Dax Offc"/>
          <w:color w:val="FFFFFF"/>
          <w:spacing w:val="-6"/>
          <w:sz w:val="48"/>
          <w:shd w:fill="BE1E2D" w:color="auto" w:val="clear"/>
        </w:rPr>
        <w:t>FLOATING </w:t>
      </w:r>
      <w:r>
        <w:rPr>
          <w:rFonts w:ascii="Dax Offc"/>
          <w:color w:val="FFFFFF"/>
          <w:sz w:val="48"/>
          <w:shd w:fill="BE1E2D" w:color="auto" w:val="clear"/>
        </w:rPr>
        <w:t>WOOD</w:t>
      </w:r>
      <w:r>
        <w:rPr>
          <w:rFonts w:ascii="Dax Offc"/>
          <w:color w:val="FFFFFF"/>
          <w:spacing w:val="-15"/>
          <w:sz w:val="48"/>
          <w:shd w:fill="BE1E2D" w:color="auto" w:val="clear"/>
        </w:rPr>
        <w:t> </w:t>
      </w:r>
      <w:r>
        <w:rPr>
          <w:rFonts w:ascii="Dax Offc"/>
          <w:color w:val="FFFFFF"/>
          <w:sz w:val="48"/>
          <w:shd w:fill="BE1E2D" w:color="auto" w:val="clear"/>
        </w:rPr>
        <w:t>FLOORS</w:t>
        <w:tab/>
      </w:r>
    </w:p>
    <w:p>
      <w:pPr>
        <w:spacing w:after="0"/>
        <w:jc w:val="left"/>
        <w:rPr>
          <w:rFonts w:ascii="Dax Offc"/>
          <w:sz w:val="48"/>
        </w:rPr>
        <w:sectPr>
          <w:type w:val="continuous"/>
          <w:pgSz w:w="11910" w:h="16840"/>
          <w:pgMar w:top="0" w:bottom="0" w:left="0" w:right="660"/>
        </w:sectPr>
      </w:pPr>
    </w:p>
    <w:p>
      <w:pPr>
        <w:pStyle w:val="BodyText"/>
        <w:rPr>
          <w:rFonts w:ascii="Dax Offc"/>
          <w:sz w:val="20"/>
        </w:rPr>
      </w:pPr>
    </w:p>
    <w:p>
      <w:pPr>
        <w:pStyle w:val="Heading2"/>
        <w:tabs>
          <w:tab w:pos="1017" w:val="left" w:leader="none"/>
          <w:tab w:pos="1683" w:val="left" w:leader="none"/>
          <w:tab w:pos="4379" w:val="left" w:leader="none"/>
        </w:tabs>
        <w:spacing w:before="225"/>
      </w:pPr>
      <w:r>
        <w:rPr>
          <w:color w:val="231F20"/>
          <w:w w:val="101"/>
          <w:shd w:fill="F2EEE8" w:color="auto" w:val="clear"/>
        </w:rPr>
        <w:t> </w:t>
      </w:r>
      <w:r>
        <w:rPr>
          <w:color w:val="231F20"/>
          <w:shd w:fill="F2EEE8" w:color="auto" w:val="clear"/>
        </w:rPr>
        <w:tab/>
        <w:t>1.1</w:t>
        <w:tab/>
        <w:t>Section Includes</w:t>
        <w:tab/>
      </w:r>
    </w:p>
    <w:p>
      <w:pPr>
        <w:pStyle w:val="BodyText"/>
        <w:spacing w:before="5"/>
        <w:rPr>
          <w:sz w:val="18"/>
        </w:rPr>
      </w:pPr>
    </w:p>
    <w:p>
      <w:pPr>
        <w:pStyle w:val="ListParagraph"/>
        <w:numPr>
          <w:ilvl w:val="0"/>
          <w:numId w:val="1"/>
        </w:numPr>
        <w:tabs>
          <w:tab w:pos="1472" w:val="left" w:leader="none"/>
          <w:tab w:pos="1473" w:val="left" w:leader="none"/>
        </w:tabs>
        <w:spacing w:line="228" w:lineRule="auto" w:before="105" w:after="0"/>
        <w:ind w:left="1472" w:right="1005" w:hanging="453"/>
        <w:jc w:val="left"/>
        <w:rPr>
          <w:sz w:val="24"/>
        </w:rPr>
      </w:pPr>
      <w:r>
        <w:rPr>
          <w:color w:val="231F20"/>
          <w:sz w:val="24"/>
        </w:rPr>
        <w:t>Electric radiant floor heating mats, installed beneath carpet, vinyl or floating wood floor covering(s).</w:t>
      </w:r>
    </w:p>
    <w:p>
      <w:pPr>
        <w:pStyle w:val="BodyText"/>
        <w:spacing w:before="2"/>
        <w:rPr>
          <w:sz w:val="22"/>
        </w:rPr>
      </w:pPr>
    </w:p>
    <w:p>
      <w:pPr>
        <w:pStyle w:val="ListParagraph"/>
        <w:numPr>
          <w:ilvl w:val="0"/>
          <w:numId w:val="1"/>
        </w:numPr>
        <w:tabs>
          <w:tab w:pos="1472" w:val="left" w:leader="none"/>
          <w:tab w:pos="1473" w:val="left" w:leader="none"/>
        </w:tabs>
        <w:spacing w:line="240" w:lineRule="auto" w:before="0" w:after="0"/>
        <w:ind w:left="1472" w:right="0" w:hanging="453"/>
        <w:jc w:val="left"/>
        <w:rPr>
          <w:sz w:val="24"/>
        </w:rPr>
      </w:pPr>
      <w:r>
        <w:rPr>
          <w:color w:val="231F20"/>
          <w:sz w:val="24"/>
        </w:rPr>
        <w:t>Digital thermostat with probe type thermistor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sensor.</w:t>
      </w:r>
    </w:p>
    <w:p>
      <w:pPr>
        <w:pStyle w:val="BodyText"/>
        <w:spacing w:before="10"/>
        <w:rPr>
          <w:sz w:val="22"/>
        </w:rPr>
      </w:pPr>
    </w:p>
    <w:p>
      <w:pPr>
        <w:pStyle w:val="ListParagraph"/>
        <w:numPr>
          <w:ilvl w:val="0"/>
          <w:numId w:val="1"/>
        </w:numPr>
        <w:tabs>
          <w:tab w:pos="1472" w:val="left" w:leader="none"/>
          <w:tab w:pos="1473" w:val="left" w:leader="none"/>
        </w:tabs>
        <w:spacing w:line="228" w:lineRule="auto" w:before="0" w:after="0"/>
        <w:ind w:left="1472" w:right="787" w:hanging="453"/>
        <w:jc w:val="left"/>
        <w:rPr>
          <w:sz w:val="24"/>
        </w:rPr>
      </w:pPr>
      <w:r>
        <w:rPr>
          <w:color w:val="231F20"/>
          <w:sz w:val="24"/>
        </w:rPr>
        <w:t>Electric radiant floor heating system components, accessories, and associated</w:t>
      </w:r>
      <w:r>
        <w:rPr>
          <w:color w:val="231F20"/>
          <w:spacing w:val="-22"/>
          <w:sz w:val="24"/>
        </w:rPr>
        <w:t> </w:t>
      </w:r>
      <w:r>
        <w:rPr>
          <w:color w:val="231F20"/>
          <w:sz w:val="24"/>
        </w:rPr>
        <w:t>installation materials.</w:t>
      </w:r>
    </w:p>
    <w:p>
      <w:pPr>
        <w:pStyle w:val="Heading2"/>
        <w:tabs>
          <w:tab w:pos="1031" w:val="left" w:leader="none"/>
          <w:tab w:pos="1697" w:val="left" w:leader="none"/>
        </w:tabs>
        <w:spacing w:before="255"/>
      </w:pPr>
      <w:r>
        <w:rPr>
          <w:color w:val="231F20"/>
          <w:w w:val="101"/>
          <w:shd w:fill="F2EEE8" w:color="auto" w:val="clear"/>
        </w:rPr>
        <w:t> </w:t>
      </w:r>
      <w:r>
        <w:rPr>
          <w:color w:val="231F20"/>
          <w:shd w:fill="F2EEE8" w:color="auto" w:val="clear"/>
        </w:rPr>
        <w:tab/>
        <w:t>1.2</w:t>
        <w:tab/>
        <w:t>Related</w:t>
      </w:r>
      <w:r>
        <w:rPr>
          <w:color w:val="231F20"/>
          <w:spacing w:val="-1"/>
          <w:shd w:fill="F2EEE8" w:color="auto" w:val="clear"/>
        </w:rPr>
        <w:t> </w:t>
      </w:r>
      <w:r>
        <w:rPr>
          <w:color w:val="231F20"/>
          <w:shd w:fill="F2EEE8" w:color="auto" w:val="clear"/>
        </w:rPr>
        <w:t>Sections</w:t>
      </w:r>
      <w:r>
        <w:rPr>
          <w:color w:val="231F20"/>
          <w:spacing w:val="20"/>
          <w:shd w:fill="F2EEE8" w:color="auto" w:val="clear"/>
        </w:rPr>
        <w:t> </w:t>
      </w:r>
    </w:p>
    <w:p>
      <w:pPr>
        <w:pStyle w:val="BodyText"/>
        <w:rPr>
          <w:sz w:val="19"/>
        </w:rPr>
      </w:pPr>
    </w:p>
    <w:p>
      <w:pPr>
        <w:spacing w:after="0"/>
        <w:rPr>
          <w:sz w:val="19"/>
        </w:rPr>
        <w:sectPr>
          <w:headerReference w:type="default" r:id="rId15"/>
          <w:footerReference w:type="default" r:id="rId16"/>
          <w:pgSz w:w="11910" w:h="16840"/>
          <w:pgMar w:header="769" w:footer="379" w:top="1360" w:bottom="560" w:left="0" w:right="660"/>
          <w:pgNumType w:start="2"/>
        </w:sectPr>
      </w:pPr>
    </w:p>
    <w:p>
      <w:pPr>
        <w:pStyle w:val="ListParagraph"/>
        <w:numPr>
          <w:ilvl w:val="0"/>
          <w:numId w:val="2"/>
        </w:numPr>
        <w:tabs>
          <w:tab w:pos="1471" w:val="left" w:leader="none"/>
          <w:tab w:pos="1472" w:val="left" w:leader="none"/>
        </w:tabs>
        <w:spacing w:line="295" w:lineRule="exact" w:before="92" w:after="0"/>
        <w:ind w:left="1471" w:right="0" w:hanging="454"/>
        <w:jc w:val="left"/>
        <w:rPr>
          <w:sz w:val="24"/>
        </w:rPr>
      </w:pPr>
      <w:r>
        <w:rPr>
          <w:color w:val="231F20"/>
          <w:sz w:val="24"/>
        </w:rPr>
        <w:t>013300 – Submittal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Procedures</w:t>
      </w:r>
    </w:p>
    <w:p>
      <w:pPr>
        <w:pStyle w:val="ListParagraph"/>
        <w:numPr>
          <w:ilvl w:val="0"/>
          <w:numId w:val="2"/>
        </w:numPr>
        <w:tabs>
          <w:tab w:pos="1471" w:val="left" w:leader="none"/>
          <w:tab w:pos="1472" w:val="left" w:leader="none"/>
        </w:tabs>
        <w:spacing w:line="288" w:lineRule="exact" w:before="0" w:after="0"/>
        <w:ind w:left="1471" w:right="0" w:hanging="454"/>
        <w:jc w:val="left"/>
        <w:rPr>
          <w:sz w:val="24"/>
        </w:rPr>
      </w:pPr>
      <w:r>
        <w:rPr>
          <w:color w:val="231F20"/>
          <w:sz w:val="24"/>
        </w:rPr>
        <w:t>014100 – Regulatory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Requirements</w:t>
      </w:r>
    </w:p>
    <w:p>
      <w:pPr>
        <w:pStyle w:val="ListParagraph"/>
        <w:numPr>
          <w:ilvl w:val="0"/>
          <w:numId w:val="2"/>
        </w:numPr>
        <w:tabs>
          <w:tab w:pos="1471" w:val="left" w:leader="none"/>
          <w:tab w:pos="1472" w:val="left" w:leader="none"/>
        </w:tabs>
        <w:spacing w:line="288" w:lineRule="exact" w:before="0" w:after="0"/>
        <w:ind w:left="1471" w:right="0" w:hanging="454"/>
        <w:jc w:val="left"/>
        <w:rPr>
          <w:sz w:val="24"/>
        </w:rPr>
      </w:pPr>
      <w:r>
        <w:rPr>
          <w:color w:val="231F20"/>
          <w:sz w:val="24"/>
        </w:rPr>
        <w:t>014300 – Quality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Assurance</w:t>
      </w:r>
    </w:p>
    <w:p>
      <w:pPr>
        <w:pStyle w:val="ListParagraph"/>
        <w:numPr>
          <w:ilvl w:val="0"/>
          <w:numId w:val="2"/>
        </w:numPr>
        <w:tabs>
          <w:tab w:pos="1471" w:val="left" w:leader="none"/>
          <w:tab w:pos="1472" w:val="left" w:leader="none"/>
        </w:tabs>
        <w:spacing w:line="288" w:lineRule="exact" w:before="0" w:after="0"/>
        <w:ind w:left="1471" w:right="0" w:hanging="454"/>
        <w:jc w:val="left"/>
        <w:rPr>
          <w:sz w:val="24"/>
        </w:rPr>
      </w:pPr>
      <w:r>
        <w:rPr>
          <w:color w:val="231F20"/>
          <w:sz w:val="24"/>
        </w:rPr>
        <w:t>017000 – Execution and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Closeout</w:t>
      </w:r>
    </w:p>
    <w:p>
      <w:pPr>
        <w:pStyle w:val="ListParagraph"/>
        <w:numPr>
          <w:ilvl w:val="0"/>
          <w:numId w:val="2"/>
        </w:numPr>
        <w:tabs>
          <w:tab w:pos="1471" w:val="left" w:leader="none"/>
          <w:tab w:pos="1472" w:val="left" w:leader="none"/>
        </w:tabs>
        <w:spacing w:line="295" w:lineRule="exact" w:before="0" w:after="0"/>
        <w:ind w:left="1471" w:right="0" w:hanging="454"/>
        <w:jc w:val="left"/>
        <w:rPr>
          <w:sz w:val="24"/>
        </w:rPr>
      </w:pPr>
      <w:r>
        <w:rPr>
          <w:color w:val="231F20"/>
          <w:sz w:val="24"/>
        </w:rPr>
        <w:t>061000 – Rough Carpentry</w:t>
      </w:r>
    </w:p>
    <w:p>
      <w:pPr>
        <w:pStyle w:val="ListParagraph"/>
        <w:numPr>
          <w:ilvl w:val="0"/>
          <w:numId w:val="2"/>
        </w:numPr>
        <w:tabs>
          <w:tab w:pos="1471" w:val="left" w:leader="none"/>
          <w:tab w:pos="1472" w:val="left" w:leader="none"/>
        </w:tabs>
        <w:spacing w:line="295" w:lineRule="exact" w:before="92" w:after="0"/>
        <w:ind w:left="1471" w:right="0" w:hanging="454"/>
        <w:jc w:val="left"/>
        <w:rPr>
          <w:sz w:val="24"/>
        </w:rPr>
      </w:pPr>
      <w:r>
        <w:rPr>
          <w:color w:val="231F20"/>
          <w:sz w:val="24"/>
        </w:rPr>
        <w:br w:type="column"/>
        <w:t>096000 – Flooring</w:t>
      </w:r>
    </w:p>
    <w:p>
      <w:pPr>
        <w:pStyle w:val="ListParagraph"/>
        <w:numPr>
          <w:ilvl w:val="0"/>
          <w:numId w:val="2"/>
        </w:numPr>
        <w:tabs>
          <w:tab w:pos="1471" w:val="left" w:leader="none"/>
          <w:tab w:pos="1472" w:val="left" w:leader="none"/>
        </w:tabs>
        <w:spacing w:line="288" w:lineRule="exact" w:before="0" w:after="0"/>
        <w:ind w:left="1471" w:right="0" w:hanging="454"/>
        <w:jc w:val="left"/>
        <w:rPr>
          <w:sz w:val="24"/>
        </w:rPr>
      </w:pPr>
      <w:r>
        <w:rPr>
          <w:color w:val="231F20"/>
          <w:sz w:val="24"/>
        </w:rPr>
        <w:t>260620.16 –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Electrical</w:t>
      </w:r>
    </w:p>
    <w:p>
      <w:pPr>
        <w:pStyle w:val="ListParagraph"/>
        <w:numPr>
          <w:ilvl w:val="0"/>
          <w:numId w:val="2"/>
        </w:numPr>
        <w:tabs>
          <w:tab w:pos="1471" w:val="left" w:leader="none"/>
          <w:tab w:pos="1472" w:val="left" w:leader="none"/>
        </w:tabs>
        <w:spacing w:line="295" w:lineRule="exact" w:before="0" w:after="0"/>
        <w:ind w:left="1471" w:right="0" w:hanging="454"/>
        <w:jc w:val="left"/>
        <w:rPr>
          <w:sz w:val="24"/>
        </w:rPr>
      </w:pPr>
      <w:r>
        <w:rPr>
          <w:color w:val="231F20"/>
          <w:sz w:val="24"/>
        </w:rPr>
        <w:t>260620.23 –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Electrical</w:t>
      </w:r>
    </w:p>
    <w:p>
      <w:pPr>
        <w:spacing w:after="0" w:line="295" w:lineRule="exact"/>
        <w:jc w:val="left"/>
        <w:rPr>
          <w:sz w:val="24"/>
        </w:rPr>
        <w:sectPr>
          <w:type w:val="continuous"/>
          <w:pgSz w:w="11910" w:h="16840"/>
          <w:pgMar w:top="0" w:bottom="0" w:left="0" w:right="660"/>
          <w:cols w:num="2" w:equalWidth="0">
            <w:col w:w="4995" w:space="209"/>
            <w:col w:w="6046"/>
          </w:cols>
        </w:sectPr>
      </w:pPr>
    </w:p>
    <w:p>
      <w:pPr>
        <w:pStyle w:val="BodyText"/>
      </w:pPr>
    </w:p>
    <w:p>
      <w:pPr>
        <w:pStyle w:val="Heading2"/>
        <w:tabs>
          <w:tab w:pos="1031" w:val="left" w:leader="none"/>
          <w:tab w:pos="1697" w:val="left" w:leader="none"/>
          <w:tab w:pos="3605" w:val="left" w:leader="none"/>
        </w:tabs>
        <w:spacing w:before="89"/>
      </w:pPr>
      <w:r>
        <w:rPr>
          <w:color w:val="231F20"/>
          <w:w w:val="101"/>
          <w:shd w:fill="F2EEE8" w:color="auto" w:val="clear"/>
        </w:rPr>
        <w:t> </w:t>
      </w:r>
      <w:r>
        <w:rPr>
          <w:color w:val="231F20"/>
          <w:shd w:fill="F2EEE8" w:color="auto" w:val="clear"/>
        </w:rPr>
        <w:tab/>
        <w:t>1.3</w:t>
        <w:tab/>
        <w:t>References</w:t>
        <w:tab/>
      </w:r>
    </w:p>
    <w:p>
      <w:pPr>
        <w:pStyle w:val="BodyText"/>
        <w:spacing w:before="5"/>
        <w:rPr>
          <w:sz w:val="18"/>
        </w:rPr>
      </w:pPr>
    </w:p>
    <w:p>
      <w:pPr>
        <w:pStyle w:val="ListParagraph"/>
        <w:numPr>
          <w:ilvl w:val="0"/>
          <w:numId w:val="3"/>
        </w:numPr>
        <w:tabs>
          <w:tab w:pos="1485" w:val="left" w:leader="none"/>
          <w:tab w:pos="1486" w:val="left" w:leader="none"/>
        </w:tabs>
        <w:spacing w:line="295" w:lineRule="exact" w:before="93" w:after="0"/>
        <w:ind w:left="1485" w:right="0" w:hanging="454"/>
        <w:jc w:val="left"/>
        <w:rPr>
          <w:sz w:val="24"/>
        </w:rPr>
      </w:pPr>
      <w:r>
        <w:rPr>
          <w:color w:val="231F20"/>
          <w:sz w:val="24"/>
        </w:rPr>
        <w:t>National Electrical Code (NEC)</w:t>
      </w:r>
    </w:p>
    <w:p>
      <w:pPr>
        <w:pStyle w:val="ListParagraph"/>
        <w:numPr>
          <w:ilvl w:val="0"/>
          <w:numId w:val="3"/>
        </w:numPr>
        <w:tabs>
          <w:tab w:pos="1485" w:val="left" w:leader="none"/>
          <w:tab w:pos="1486" w:val="left" w:leader="none"/>
        </w:tabs>
        <w:spacing w:line="288" w:lineRule="exact" w:before="0" w:after="0"/>
        <w:ind w:left="1485" w:right="0" w:hanging="454"/>
        <w:jc w:val="left"/>
        <w:rPr>
          <w:sz w:val="24"/>
        </w:rPr>
      </w:pPr>
      <w:r>
        <w:rPr>
          <w:color w:val="231F20"/>
          <w:sz w:val="24"/>
        </w:rPr>
        <w:t>Canadian Standards Association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(CSA)</w:t>
      </w:r>
    </w:p>
    <w:p>
      <w:pPr>
        <w:pStyle w:val="ListParagraph"/>
        <w:numPr>
          <w:ilvl w:val="0"/>
          <w:numId w:val="3"/>
        </w:numPr>
        <w:tabs>
          <w:tab w:pos="1485" w:val="left" w:leader="none"/>
          <w:tab w:pos="1486" w:val="left" w:leader="none"/>
        </w:tabs>
        <w:spacing w:line="288" w:lineRule="exact" w:before="0" w:after="0"/>
        <w:ind w:left="1485" w:right="0" w:hanging="454"/>
        <w:jc w:val="left"/>
        <w:rPr>
          <w:sz w:val="24"/>
        </w:rPr>
      </w:pPr>
      <w:r>
        <w:rPr>
          <w:color w:val="231F20"/>
          <w:sz w:val="24"/>
        </w:rPr>
        <w:t>Underwriter’s Laboratory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(UL)</w:t>
      </w:r>
    </w:p>
    <w:p>
      <w:pPr>
        <w:pStyle w:val="ListParagraph"/>
        <w:numPr>
          <w:ilvl w:val="0"/>
          <w:numId w:val="3"/>
        </w:numPr>
        <w:tabs>
          <w:tab w:pos="1485" w:val="left" w:leader="none"/>
          <w:tab w:pos="1486" w:val="left" w:leader="none"/>
        </w:tabs>
        <w:spacing w:line="288" w:lineRule="exact" w:before="0" w:after="0"/>
        <w:ind w:left="1485" w:right="0" w:hanging="454"/>
        <w:jc w:val="left"/>
        <w:rPr>
          <w:sz w:val="24"/>
        </w:rPr>
      </w:pPr>
      <w:r>
        <w:rPr>
          <w:color w:val="231F20"/>
          <w:sz w:val="24"/>
        </w:rPr>
        <w:t>American National Standards Institute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(ANSI)</w:t>
      </w:r>
    </w:p>
    <w:p>
      <w:pPr>
        <w:pStyle w:val="ListParagraph"/>
        <w:numPr>
          <w:ilvl w:val="0"/>
          <w:numId w:val="3"/>
        </w:numPr>
        <w:tabs>
          <w:tab w:pos="1485" w:val="left" w:leader="none"/>
          <w:tab w:pos="1486" w:val="left" w:leader="none"/>
        </w:tabs>
        <w:spacing w:line="288" w:lineRule="exact" w:before="0" w:after="0"/>
        <w:ind w:left="1485" w:right="0" w:hanging="454"/>
        <w:jc w:val="left"/>
        <w:rPr>
          <w:sz w:val="24"/>
        </w:rPr>
      </w:pPr>
      <w:r>
        <w:rPr>
          <w:color w:val="231F20"/>
          <w:sz w:val="24"/>
        </w:rPr>
        <w:t>Carpet and Rug Institute (CRI)</w:t>
      </w:r>
    </w:p>
    <w:p>
      <w:pPr>
        <w:pStyle w:val="ListParagraph"/>
        <w:numPr>
          <w:ilvl w:val="0"/>
          <w:numId w:val="3"/>
        </w:numPr>
        <w:tabs>
          <w:tab w:pos="1485" w:val="left" w:leader="none"/>
          <w:tab w:pos="1486" w:val="left" w:leader="none"/>
        </w:tabs>
        <w:spacing w:line="295" w:lineRule="exact" w:before="0" w:after="0"/>
        <w:ind w:left="1485" w:right="0" w:hanging="454"/>
        <w:jc w:val="left"/>
        <w:rPr>
          <w:sz w:val="24"/>
        </w:rPr>
      </w:pPr>
      <w:r>
        <w:rPr>
          <w:color w:val="231F20"/>
          <w:sz w:val="24"/>
        </w:rPr>
        <w:t>Warmup Electric Radiant Foil System Installation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Manual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7"/>
        </w:rPr>
      </w:pPr>
    </w:p>
    <w:p>
      <w:pPr>
        <w:pStyle w:val="Heading2"/>
        <w:tabs>
          <w:tab w:pos="1031" w:val="left" w:leader="none"/>
          <w:tab w:pos="1697" w:val="left" w:leader="none"/>
          <w:tab w:pos="6062" w:val="left" w:leader="none"/>
        </w:tabs>
        <w:spacing w:before="89"/>
      </w:pPr>
      <w:r>
        <w:rPr>
          <w:color w:val="231F20"/>
          <w:w w:val="101"/>
          <w:shd w:fill="F2EEE8" w:color="auto" w:val="clear"/>
        </w:rPr>
        <w:t> </w:t>
      </w:r>
      <w:r>
        <w:rPr>
          <w:color w:val="231F20"/>
          <w:shd w:fill="F2EEE8" w:color="auto" w:val="clear"/>
        </w:rPr>
        <w:tab/>
        <w:t>1.4</w:t>
        <w:tab/>
        <w:t>Performance</w:t>
      </w:r>
      <w:r>
        <w:rPr>
          <w:color w:val="231F20"/>
          <w:spacing w:val="-20"/>
          <w:shd w:fill="F2EEE8" w:color="auto" w:val="clear"/>
        </w:rPr>
        <w:t> </w:t>
      </w:r>
      <w:r>
        <w:rPr>
          <w:color w:val="231F20"/>
          <w:shd w:fill="F2EEE8" w:color="auto" w:val="clear"/>
        </w:rPr>
        <w:t>Requirements</w:t>
        <w:tab/>
      </w:r>
    </w:p>
    <w:p>
      <w:pPr>
        <w:pStyle w:val="BodyText"/>
        <w:spacing w:before="5"/>
        <w:rPr>
          <w:sz w:val="18"/>
        </w:rPr>
      </w:pPr>
    </w:p>
    <w:p>
      <w:pPr>
        <w:pStyle w:val="ListParagraph"/>
        <w:numPr>
          <w:ilvl w:val="0"/>
          <w:numId w:val="4"/>
        </w:numPr>
        <w:tabs>
          <w:tab w:pos="1471" w:val="left" w:leader="none"/>
          <w:tab w:pos="1472" w:val="left" w:leader="none"/>
        </w:tabs>
        <w:spacing w:line="228" w:lineRule="auto" w:before="105" w:after="0"/>
        <w:ind w:left="1471" w:right="156" w:hanging="454"/>
        <w:jc w:val="left"/>
        <w:rPr>
          <w:sz w:val="24"/>
        </w:rPr>
      </w:pPr>
      <w:r>
        <w:rPr>
          <w:color w:val="231F20"/>
          <w:sz w:val="24"/>
        </w:rPr>
        <w:t>Electric floor heating mat must generate 12 watts per square foot. Mat heaters less than 12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watts per square foot, will not be acceptable for this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application.</w:t>
      </w:r>
    </w:p>
    <w:p>
      <w:pPr>
        <w:pStyle w:val="BodyText"/>
        <w:spacing w:before="2"/>
        <w:rPr>
          <w:sz w:val="22"/>
        </w:rPr>
      </w:pPr>
    </w:p>
    <w:p>
      <w:pPr>
        <w:pStyle w:val="ListParagraph"/>
        <w:numPr>
          <w:ilvl w:val="0"/>
          <w:numId w:val="4"/>
        </w:numPr>
        <w:tabs>
          <w:tab w:pos="1471" w:val="left" w:leader="none"/>
          <w:tab w:pos="1472" w:val="left" w:leader="none"/>
        </w:tabs>
        <w:spacing w:line="240" w:lineRule="auto" w:before="0" w:after="0"/>
        <w:ind w:left="1471" w:right="0" w:hanging="454"/>
        <w:jc w:val="left"/>
        <w:rPr>
          <w:sz w:val="24"/>
        </w:rPr>
      </w:pPr>
      <w:r>
        <w:rPr>
          <w:color w:val="231F20"/>
          <w:sz w:val="24"/>
        </w:rPr>
        <w:t>Heating cables or mats that must be buried in </w:t>
      </w:r>
      <w:r>
        <w:rPr>
          <w:color w:val="231F20"/>
          <w:spacing w:val="-3"/>
          <w:sz w:val="24"/>
        </w:rPr>
        <w:t>mortar, </w:t>
      </w:r>
      <w:r>
        <w:rPr>
          <w:color w:val="231F20"/>
          <w:sz w:val="24"/>
        </w:rPr>
        <w:t>will not be acceptable for this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application.</w:t>
      </w:r>
    </w:p>
    <w:p>
      <w:pPr>
        <w:pStyle w:val="BodyText"/>
        <w:spacing w:before="9"/>
        <w:rPr>
          <w:sz w:val="22"/>
        </w:rPr>
      </w:pPr>
    </w:p>
    <w:p>
      <w:pPr>
        <w:pStyle w:val="ListParagraph"/>
        <w:numPr>
          <w:ilvl w:val="0"/>
          <w:numId w:val="4"/>
        </w:numPr>
        <w:tabs>
          <w:tab w:pos="1471" w:val="left" w:leader="none"/>
          <w:tab w:pos="1472" w:val="left" w:leader="none"/>
        </w:tabs>
        <w:spacing w:line="228" w:lineRule="auto" w:before="1" w:after="0"/>
        <w:ind w:left="1471" w:right="901" w:hanging="454"/>
        <w:jc w:val="left"/>
        <w:rPr>
          <w:sz w:val="24"/>
        </w:rPr>
      </w:pPr>
      <w:r>
        <w:rPr>
          <w:color w:val="231F20"/>
          <w:sz w:val="24"/>
        </w:rPr>
        <w:t>Underlayment should be comprised of a thin polystyrene insulation barrier with effective acoustic properties to reduce contact noise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(WIU).</w:t>
      </w:r>
    </w:p>
    <w:p>
      <w:pPr>
        <w:spacing w:after="0" w:line="228" w:lineRule="auto"/>
        <w:jc w:val="left"/>
        <w:rPr>
          <w:sz w:val="24"/>
        </w:rPr>
        <w:sectPr>
          <w:type w:val="continuous"/>
          <w:pgSz w:w="11910" w:h="16840"/>
          <w:pgMar w:top="0" w:bottom="0" w:left="0" w:right="660"/>
        </w:sectPr>
      </w:pPr>
    </w:p>
    <w:p>
      <w:pPr>
        <w:pStyle w:val="BodyText"/>
        <w:rPr>
          <w:sz w:val="20"/>
        </w:rPr>
      </w:pPr>
    </w:p>
    <w:p>
      <w:pPr>
        <w:pStyle w:val="Heading2"/>
        <w:tabs>
          <w:tab w:pos="1017" w:val="left" w:leader="none"/>
          <w:tab w:pos="1683" w:val="left" w:leader="none"/>
          <w:tab w:pos="3696" w:val="left" w:leader="none"/>
        </w:tabs>
        <w:spacing w:before="229"/>
      </w:pPr>
      <w:r>
        <w:rPr>
          <w:color w:val="231F20"/>
          <w:w w:val="101"/>
          <w:shd w:fill="F2EEE8" w:color="auto" w:val="clear"/>
        </w:rPr>
        <w:t> </w:t>
      </w:r>
      <w:r>
        <w:rPr>
          <w:color w:val="231F20"/>
          <w:shd w:fill="F2EEE8" w:color="auto" w:val="clear"/>
        </w:rPr>
        <w:tab/>
        <w:t>1.5</w:t>
        <w:tab/>
        <w:t>Submittals</w:t>
        <w:tab/>
      </w:r>
    </w:p>
    <w:p>
      <w:pPr>
        <w:pStyle w:val="BodyText"/>
        <w:spacing w:before="5"/>
        <w:rPr>
          <w:sz w:val="18"/>
        </w:rPr>
      </w:pPr>
    </w:p>
    <w:p>
      <w:pPr>
        <w:pStyle w:val="ListParagraph"/>
        <w:numPr>
          <w:ilvl w:val="0"/>
          <w:numId w:val="5"/>
        </w:numPr>
        <w:tabs>
          <w:tab w:pos="1469" w:val="left" w:leader="none"/>
          <w:tab w:pos="1470" w:val="left" w:leader="none"/>
        </w:tabs>
        <w:spacing w:line="240" w:lineRule="auto" w:before="93" w:after="0"/>
        <w:ind w:left="1469" w:right="0" w:hanging="453"/>
        <w:jc w:val="left"/>
        <w:rPr>
          <w:sz w:val="24"/>
        </w:rPr>
      </w:pPr>
      <w:r>
        <w:rPr>
          <w:color w:val="231F20"/>
          <w:sz w:val="24"/>
        </w:rPr>
        <w:t>Submit under provisions of Section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013300</w:t>
      </w:r>
    </w:p>
    <w:p>
      <w:pPr>
        <w:pStyle w:val="BodyText"/>
        <w:spacing w:before="9"/>
        <w:rPr>
          <w:sz w:val="22"/>
        </w:rPr>
      </w:pPr>
    </w:p>
    <w:p>
      <w:pPr>
        <w:pStyle w:val="ListParagraph"/>
        <w:numPr>
          <w:ilvl w:val="0"/>
          <w:numId w:val="5"/>
        </w:numPr>
        <w:tabs>
          <w:tab w:pos="1469" w:val="left" w:leader="none"/>
          <w:tab w:pos="1470" w:val="left" w:leader="none"/>
        </w:tabs>
        <w:spacing w:line="228" w:lineRule="auto" w:before="0" w:after="0"/>
        <w:ind w:left="1469" w:right="656" w:hanging="453"/>
        <w:jc w:val="left"/>
        <w:rPr>
          <w:sz w:val="24"/>
        </w:rPr>
      </w:pPr>
      <w:r>
        <w:rPr>
          <w:color w:val="231F20"/>
          <w:sz w:val="24"/>
        </w:rPr>
        <w:t>Provide General </w:t>
      </w:r>
      <w:r>
        <w:rPr>
          <w:color w:val="231F20"/>
          <w:spacing w:val="-3"/>
          <w:sz w:val="24"/>
        </w:rPr>
        <w:t>Contractor, </w:t>
      </w:r>
      <w:r>
        <w:rPr>
          <w:color w:val="231F20"/>
          <w:sz w:val="24"/>
        </w:rPr>
        <w:t>Architect, MEP Engineer, and Owner with all the</w:t>
      </w:r>
      <w:r>
        <w:rPr>
          <w:color w:val="231F20"/>
          <w:spacing w:val="-22"/>
          <w:sz w:val="24"/>
        </w:rPr>
        <w:t> </w:t>
      </w:r>
      <w:r>
        <w:rPr>
          <w:color w:val="231F20"/>
          <w:sz w:val="24"/>
        </w:rPr>
        <w:t>Manufacturer’s product data sheets, </w:t>
      </w:r>
      <w:r>
        <w:rPr>
          <w:color w:val="231F20"/>
          <w:spacing w:val="-3"/>
          <w:sz w:val="24"/>
        </w:rPr>
        <w:t>warranty, </w:t>
      </w:r>
      <w:r>
        <w:rPr>
          <w:color w:val="231F20"/>
          <w:sz w:val="24"/>
        </w:rPr>
        <w:t>and installation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instructions.</w:t>
      </w:r>
    </w:p>
    <w:p>
      <w:pPr>
        <w:pStyle w:val="BodyText"/>
        <w:spacing w:before="2"/>
        <w:rPr>
          <w:sz w:val="23"/>
        </w:rPr>
      </w:pPr>
    </w:p>
    <w:p>
      <w:pPr>
        <w:pStyle w:val="ListParagraph"/>
        <w:numPr>
          <w:ilvl w:val="0"/>
          <w:numId w:val="5"/>
        </w:numPr>
        <w:tabs>
          <w:tab w:pos="1469" w:val="left" w:leader="none"/>
          <w:tab w:pos="1470" w:val="left" w:leader="none"/>
        </w:tabs>
        <w:spacing w:line="228" w:lineRule="auto" w:before="0" w:after="0"/>
        <w:ind w:left="1469" w:right="99" w:hanging="453"/>
        <w:jc w:val="left"/>
        <w:rPr>
          <w:sz w:val="24"/>
        </w:rPr>
      </w:pPr>
      <w:r>
        <w:rPr>
          <w:color w:val="231F20"/>
          <w:sz w:val="24"/>
        </w:rPr>
        <w:t>Provide General </w:t>
      </w:r>
      <w:r>
        <w:rPr>
          <w:color w:val="231F20"/>
          <w:spacing w:val="-3"/>
          <w:sz w:val="24"/>
        </w:rPr>
        <w:t>Contractor, </w:t>
      </w:r>
      <w:r>
        <w:rPr>
          <w:color w:val="231F20"/>
          <w:sz w:val="24"/>
        </w:rPr>
        <w:t>Architect, MEP Engineer, and Owner with all relevant Shop Drawings, Samples, Mock-Ups, and Electrical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Schematics.</w:t>
      </w:r>
    </w:p>
    <w:p>
      <w:pPr>
        <w:pStyle w:val="BodyText"/>
        <w:spacing w:before="10"/>
        <w:rPr>
          <w:sz w:val="31"/>
        </w:rPr>
      </w:pPr>
    </w:p>
    <w:p>
      <w:pPr>
        <w:pStyle w:val="Heading2"/>
        <w:tabs>
          <w:tab w:pos="1017" w:val="left" w:leader="none"/>
          <w:tab w:pos="1737" w:val="left" w:leader="none"/>
          <w:tab w:pos="4739" w:val="left" w:leader="none"/>
        </w:tabs>
      </w:pPr>
      <w:r>
        <w:rPr>
          <w:color w:val="231F20"/>
          <w:w w:val="101"/>
          <w:shd w:fill="F2EEE8" w:color="auto" w:val="clear"/>
        </w:rPr>
        <w:t> </w:t>
      </w:r>
      <w:r>
        <w:rPr>
          <w:color w:val="231F20"/>
          <w:shd w:fill="F2EEE8" w:color="auto" w:val="clear"/>
        </w:rPr>
        <w:tab/>
        <w:t>1.6</w:t>
        <w:tab/>
        <w:t>Quality</w:t>
      </w:r>
      <w:r>
        <w:rPr>
          <w:color w:val="231F20"/>
          <w:spacing w:val="-13"/>
          <w:shd w:fill="F2EEE8" w:color="auto" w:val="clear"/>
        </w:rPr>
        <w:t> </w:t>
      </w:r>
      <w:r>
        <w:rPr>
          <w:color w:val="231F20"/>
          <w:shd w:fill="F2EEE8" w:color="auto" w:val="clear"/>
        </w:rPr>
        <w:t>Assurance</w:t>
        <w:tab/>
      </w:r>
    </w:p>
    <w:p>
      <w:pPr>
        <w:pStyle w:val="BodyText"/>
        <w:spacing w:before="5"/>
        <w:rPr>
          <w:sz w:val="18"/>
        </w:rPr>
      </w:pPr>
    </w:p>
    <w:p>
      <w:pPr>
        <w:pStyle w:val="ListParagraph"/>
        <w:numPr>
          <w:ilvl w:val="0"/>
          <w:numId w:val="6"/>
        </w:numPr>
        <w:tabs>
          <w:tab w:pos="1469" w:val="left" w:leader="none"/>
          <w:tab w:pos="1470" w:val="left" w:leader="none"/>
        </w:tabs>
        <w:spacing w:line="240" w:lineRule="auto" w:before="93" w:after="0"/>
        <w:ind w:left="1469" w:right="0" w:hanging="453"/>
        <w:jc w:val="left"/>
        <w:rPr>
          <w:sz w:val="24"/>
        </w:rPr>
      </w:pPr>
      <w:r>
        <w:rPr>
          <w:color w:val="231F20"/>
          <w:sz w:val="24"/>
        </w:rPr>
        <w:t>Manufacturer Qualifications &amp;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Services:</w:t>
      </w:r>
    </w:p>
    <w:p>
      <w:pPr>
        <w:pStyle w:val="ListParagraph"/>
        <w:numPr>
          <w:ilvl w:val="1"/>
          <w:numId w:val="6"/>
        </w:numPr>
        <w:tabs>
          <w:tab w:pos="1737" w:val="left" w:leader="none"/>
        </w:tabs>
        <w:spacing w:line="295" w:lineRule="exact" w:before="106" w:after="0"/>
        <w:ind w:left="1736" w:right="0" w:hanging="323"/>
        <w:jc w:val="left"/>
        <w:rPr>
          <w:sz w:val="24"/>
        </w:rPr>
      </w:pPr>
      <w:r>
        <w:rPr>
          <w:color w:val="231F20"/>
          <w:sz w:val="24"/>
        </w:rPr>
        <w:t>20 years of experience (minimum) with electric radiant floor heating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systems.</w:t>
      </w:r>
    </w:p>
    <w:p>
      <w:pPr>
        <w:pStyle w:val="ListParagraph"/>
        <w:numPr>
          <w:ilvl w:val="1"/>
          <w:numId w:val="6"/>
        </w:numPr>
        <w:tabs>
          <w:tab w:pos="1737" w:val="left" w:leader="none"/>
        </w:tabs>
        <w:spacing w:line="228" w:lineRule="auto" w:before="5" w:after="0"/>
        <w:ind w:left="1736" w:right="353" w:hanging="323"/>
        <w:jc w:val="left"/>
        <w:rPr>
          <w:sz w:val="24"/>
        </w:rPr>
      </w:pPr>
      <w:r>
        <w:rPr>
          <w:color w:val="231F20"/>
          <w:sz w:val="24"/>
        </w:rPr>
        <w:t>Floor heating mats, thermostats, sensors, relays, and related items shall be provided by one supplier.</w:t>
      </w:r>
    </w:p>
    <w:p>
      <w:pPr>
        <w:pStyle w:val="ListParagraph"/>
        <w:numPr>
          <w:ilvl w:val="1"/>
          <w:numId w:val="6"/>
        </w:numPr>
        <w:tabs>
          <w:tab w:pos="1737" w:val="left" w:leader="none"/>
        </w:tabs>
        <w:spacing w:line="228" w:lineRule="auto" w:before="3" w:after="0"/>
        <w:ind w:left="1736" w:right="605" w:hanging="323"/>
        <w:jc w:val="left"/>
        <w:rPr>
          <w:sz w:val="24"/>
        </w:rPr>
      </w:pPr>
      <w:r>
        <w:rPr>
          <w:color w:val="231F20"/>
          <w:sz w:val="24"/>
        </w:rPr>
        <w:t>Must be able to provide on-site field support, 24/7 technical installation support, and free design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assistance.</w:t>
      </w:r>
    </w:p>
    <w:p>
      <w:pPr>
        <w:pStyle w:val="BodyText"/>
        <w:spacing w:before="2"/>
        <w:rPr>
          <w:sz w:val="22"/>
        </w:rPr>
      </w:pPr>
    </w:p>
    <w:p>
      <w:pPr>
        <w:pStyle w:val="ListParagraph"/>
        <w:numPr>
          <w:ilvl w:val="0"/>
          <w:numId w:val="6"/>
        </w:numPr>
        <w:tabs>
          <w:tab w:pos="1469" w:val="left" w:leader="none"/>
          <w:tab w:pos="1470" w:val="left" w:leader="none"/>
        </w:tabs>
        <w:spacing w:line="240" w:lineRule="auto" w:before="0" w:after="0"/>
        <w:ind w:left="1469" w:right="0" w:hanging="453"/>
        <w:jc w:val="left"/>
        <w:rPr>
          <w:sz w:val="24"/>
        </w:rPr>
      </w:pPr>
      <w:r>
        <w:rPr>
          <w:color w:val="231F20"/>
          <w:sz w:val="24"/>
        </w:rPr>
        <w:t>Installer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Qualifications:</w:t>
      </w:r>
    </w:p>
    <w:p>
      <w:pPr>
        <w:pStyle w:val="ListParagraph"/>
        <w:numPr>
          <w:ilvl w:val="1"/>
          <w:numId w:val="6"/>
        </w:numPr>
        <w:tabs>
          <w:tab w:pos="1737" w:val="left" w:leader="none"/>
        </w:tabs>
        <w:spacing w:line="228" w:lineRule="auto" w:before="143" w:after="0"/>
        <w:ind w:left="1736" w:right="429" w:hanging="323"/>
        <w:jc w:val="left"/>
        <w:rPr>
          <w:sz w:val="24"/>
        </w:rPr>
      </w:pPr>
      <w:r>
        <w:rPr>
          <w:color w:val="231F20"/>
          <w:sz w:val="24"/>
        </w:rPr>
        <w:t>Must have verifiable experience successfully completing projects of similar size, and </w:t>
      </w:r>
      <w:r>
        <w:rPr>
          <w:color w:val="231F20"/>
          <w:spacing w:val="-3"/>
          <w:sz w:val="24"/>
        </w:rPr>
        <w:t>/or</w:t>
      </w:r>
      <w:r>
        <w:rPr>
          <w:color w:val="231F20"/>
          <w:spacing w:val="-30"/>
          <w:sz w:val="24"/>
        </w:rPr>
        <w:t> </w:t>
      </w:r>
      <w:r>
        <w:rPr>
          <w:color w:val="231F20"/>
          <w:sz w:val="24"/>
        </w:rPr>
        <w:t>has been trained or certified by a manufacturer’s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representative.</w:t>
      </w:r>
    </w:p>
    <w:p>
      <w:pPr>
        <w:pStyle w:val="ListParagraph"/>
        <w:numPr>
          <w:ilvl w:val="1"/>
          <w:numId w:val="6"/>
        </w:numPr>
        <w:tabs>
          <w:tab w:pos="1737" w:val="left" w:leader="none"/>
        </w:tabs>
        <w:spacing w:line="228" w:lineRule="auto" w:before="2" w:after="0"/>
        <w:ind w:left="1736" w:right="108" w:hanging="323"/>
        <w:jc w:val="left"/>
        <w:rPr>
          <w:sz w:val="24"/>
        </w:rPr>
      </w:pPr>
      <w:r>
        <w:rPr>
          <w:color w:val="231F20"/>
          <w:sz w:val="24"/>
        </w:rPr>
        <w:t>A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licensed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electrician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shall</w:t>
      </w:r>
      <w:r>
        <w:rPr>
          <w:color w:val="231F20"/>
          <w:spacing w:val="-7"/>
          <w:sz w:val="24"/>
        </w:rPr>
        <w:t> </w:t>
      </w:r>
      <w:r>
        <w:rPr>
          <w:color w:val="231F20"/>
          <w:spacing w:val="-3"/>
          <w:sz w:val="24"/>
        </w:rPr>
        <w:t>complete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all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electrical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rough-in,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electrical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connections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required to complete the system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installation.</w:t>
      </w:r>
    </w:p>
    <w:p>
      <w:pPr>
        <w:pStyle w:val="BodyText"/>
        <w:spacing w:before="2"/>
        <w:rPr>
          <w:sz w:val="23"/>
        </w:rPr>
      </w:pPr>
    </w:p>
    <w:p>
      <w:pPr>
        <w:pStyle w:val="ListParagraph"/>
        <w:numPr>
          <w:ilvl w:val="0"/>
          <w:numId w:val="6"/>
        </w:numPr>
        <w:tabs>
          <w:tab w:pos="1469" w:val="left" w:leader="none"/>
          <w:tab w:pos="1470" w:val="left" w:leader="none"/>
        </w:tabs>
        <w:spacing w:line="228" w:lineRule="auto" w:before="0" w:after="0"/>
        <w:ind w:left="1469" w:right="734" w:hanging="453"/>
        <w:jc w:val="left"/>
        <w:rPr>
          <w:sz w:val="24"/>
        </w:rPr>
      </w:pPr>
      <w:r>
        <w:rPr>
          <w:color w:val="231F20"/>
          <w:sz w:val="24"/>
        </w:rPr>
        <w:t>Regulatory Requirements and Approvals - Electric Radiant Floor Heating System. Provide a radiant floor heating system that complies with the following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requirements:</w:t>
      </w:r>
    </w:p>
    <w:p>
      <w:pPr>
        <w:pStyle w:val="ListParagraph"/>
        <w:numPr>
          <w:ilvl w:val="1"/>
          <w:numId w:val="6"/>
        </w:numPr>
        <w:tabs>
          <w:tab w:pos="1737" w:val="left" w:leader="none"/>
        </w:tabs>
        <w:spacing w:line="228" w:lineRule="auto" w:before="147" w:after="0"/>
        <w:ind w:left="1736" w:right="158" w:hanging="323"/>
        <w:jc w:val="left"/>
        <w:rPr>
          <w:sz w:val="24"/>
        </w:rPr>
      </w:pPr>
      <w:r>
        <w:rPr>
          <w:color w:val="231F20"/>
          <w:sz w:val="24"/>
        </w:rPr>
        <w:t>Heating mats for installation in cement-based mortar or over wood subfloors shall be listed</w:t>
      </w:r>
      <w:r>
        <w:rPr>
          <w:color w:val="231F20"/>
          <w:spacing w:val="-31"/>
          <w:sz w:val="24"/>
        </w:rPr>
        <w:t> </w:t>
      </w:r>
      <w:r>
        <w:rPr>
          <w:color w:val="231F20"/>
          <w:sz w:val="24"/>
        </w:rPr>
        <w:t>to UL 1673 and CSA- C22.2 No.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130-03.</w:t>
      </w:r>
    </w:p>
    <w:p>
      <w:pPr>
        <w:pStyle w:val="BodyText"/>
        <w:spacing w:before="2"/>
        <w:rPr>
          <w:sz w:val="22"/>
        </w:rPr>
      </w:pPr>
    </w:p>
    <w:p>
      <w:pPr>
        <w:pStyle w:val="ListParagraph"/>
        <w:numPr>
          <w:ilvl w:val="0"/>
          <w:numId w:val="6"/>
        </w:numPr>
        <w:tabs>
          <w:tab w:pos="1469" w:val="left" w:leader="none"/>
          <w:tab w:pos="1470" w:val="left" w:leader="none"/>
        </w:tabs>
        <w:spacing w:line="240" w:lineRule="auto" w:before="0" w:after="0"/>
        <w:ind w:left="1469" w:right="0" w:hanging="453"/>
        <w:jc w:val="left"/>
        <w:rPr>
          <w:sz w:val="24"/>
        </w:rPr>
      </w:pPr>
      <w:r>
        <w:rPr>
          <w:color w:val="231F20"/>
          <w:sz w:val="24"/>
        </w:rPr>
        <w:t>Pre-Installation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Meetings:</w:t>
      </w:r>
    </w:p>
    <w:p>
      <w:pPr>
        <w:pStyle w:val="BodyText"/>
        <w:spacing w:before="10"/>
        <w:rPr>
          <w:sz w:val="22"/>
        </w:rPr>
      </w:pPr>
    </w:p>
    <w:p>
      <w:pPr>
        <w:pStyle w:val="ListParagraph"/>
        <w:numPr>
          <w:ilvl w:val="1"/>
          <w:numId w:val="6"/>
        </w:numPr>
        <w:tabs>
          <w:tab w:pos="1737" w:val="left" w:leader="none"/>
        </w:tabs>
        <w:spacing w:line="228" w:lineRule="auto" w:before="0" w:after="0"/>
        <w:ind w:left="1736" w:right="680" w:hanging="323"/>
        <w:jc w:val="left"/>
        <w:rPr>
          <w:sz w:val="24"/>
        </w:rPr>
      </w:pPr>
      <w:r>
        <w:rPr>
          <w:color w:val="231F20"/>
          <w:sz w:val="24"/>
        </w:rPr>
        <w:t>Coordinate work with other trade representatives (general, electrical, flooring, and</w:t>
      </w:r>
      <w:r>
        <w:rPr>
          <w:color w:val="231F20"/>
          <w:spacing w:val="-26"/>
          <w:sz w:val="24"/>
        </w:rPr>
        <w:t> </w:t>
      </w:r>
      <w:r>
        <w:rPr>
          <w:color w:val="231F20"/>
          <w:sz w:val="24"/>
        </w:rPr>
        <w:t>other trade contractors) to verify areas of responsibility (scope of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work).</w:t>
      </w:r>
    </w:p>
    <w:p>
      <w:pPr>
        <w:pStyle w:val="ListParagraph"/>
        <w:numPr>
          <w:ilvl w:val="1"/>
          <w:numId w:val="6"/>
        </w:numPr>
        <w:tabs>
          <w:tab w:pos="1737" w:val="left" w:leader="none"/>
        </w:tabs>
        <w:spacing w:line="228" w:lineRule="auto" w:before="3" w:after="0"/>
        <w:ind w:left="1736" w:right="642" w:hanging="323"/>
        <w:jc w:val="left"/>
        <w:rPr>
          <w:sz w:val="24"/>
        </w:rPr>
      </w:pPr>
      <w:r>
        <w:rPr>
          <w:color w:val="231F20"/>
          <w:sz w:val="24"/>
        </w:rPr>
        <w:t>Review project timeline and construction deadlines to ensure project will comply with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all manufacturer’s installation instructions and warranty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requirements.</w:t>
      </w:r>
    </w:p>
    <w:p>
      <w:pPr>
        <w:pStyle w:val="BodyText"/>
        <w:spacing w:before="10"/>
        <w:rPr>
          <w:sz w:val="32"/>
        </w:rPr>
      </w:pPr>
    </w:p>
    <w:p>
      <w:pPr>
        <w:pStyle w:val="Heading2"/>
        <w:tabs>
          <w:tab w:pos="1017" w:val="left" w:leader="none"/>
          <w:tab w:pos="1737" w:val="left" w:leader="none"/>
          <w:tab w:pos="6718" w:val="left" w:leader="none"/>
        </w:tabs>
      </w:pPr>
      <w:r>
        <w:rPr>
          <w:color w:val="231F20"/>
          <w:w w:val="101"/>
          <w:shd w:fill="F2EEE8" w:color="auto" w:val="clear"/>
        </w:rPr>
        <w:t> </w:t>
      </w:r>
      <w:r>
        <w:rPr>
          <w:color w:val="231F20"/>
          <w:shd w:fill="F2EEE8" w:color="auto" w:val="clear"/>
        </w:rPr>
        <w:tab/>
        <w:t>1.7</w:t>
        <w:tab/>
        <w:t>Delivery, </w:t>
      </w:r>
      <w:r>
        <w:rPr>
          <w:color w:val="231F20"/>
          <w:spacing w:val="-3"/>
          <w:shd w:fill="F2EEE8" w:color="auto" w:val="clear"/>
        </w:rPr>
        <w:t>Storage </w:t>
      </w:r>
      <w:r>
        <w:rPr>
          <w:color w:val="231F20"/>
          <w:shd w:fill="F2EEE8" w:color="auto" w:val="clear"/>
        </w:rPr>
        <w:t>and</w:t>
      </w:r>
      <w:r>
        <w:rPr>
          <w:color w:val="231F20"/>
          <w:spacing w:val="3"/>
          <w:shd w:fill="F2EEE8" w:color="auto" w:val="clear"/>
        </w:rPr>
        <w:t> </w:t>
      </w:r>
      <w:r>
        <w:rPr>
          <w:color w:val="231F20"/>
          <w:shd w:fill="F2EEE8" w:color="auto" w:val="clear"/>
        </w:rPr>
        <w:t>Handling</w:t>
        <w:tab/>
      </w:r>
    </w:p>
    <w:p>
      <w:pPr>
        <w:pStyle w:val="BodyText"/>
        <w:spacing w:before="5"/>
        <w:rPr>
          <w:sz w:val="18"/>
        </w:rPr>
      </w:pPr>
    </w:p>
    <w:p>
      <w:pPr>
        <w:pStyle w:val="ListParagraph"/>
        <w:numPr>
          <w:ilvl w:val="0"/>
          <w:numId w:val="7"/>
        </w:numPr>
        <w:tabs>
          <w:tab w:pos="1472" w:val="left" w:leader="none"/>
          <w:tab w:pos="1473" w:val="left" w:leader="none"/>
        </w:tabs>
        <w:spacing w:line="228" w:lineRule="auto" w:before="105" w:after="0"/>
        <w:ind w:left="1472" w:right="1400" w:hanging="454"/>
        <w:jc w:val="left"/>
        <w:rPr>
          <w:sz w:val="24"/>
        </w:rPr>
      </w:pPr>
      <w:r>
        <w:rPr>
          <w:color w:val="231F20"/>
          <w:sz w:val="24"/>
        </w:rPr>
        <w:t>Deliver materials in manufacturer’s original, unopened, undamaged containers</w:t>
      </w:r>
      <w:r>
        <w:rPr>
          <w:color w:val="231F20"/>
          <w:spacing w:val="-30"/>
          <w:sz w:val="24"/>
        </w:rPr>
        <w:t> </w:t>
      </w:r>
      <w:r>
        <w:rPr>
          <w:color w:val="231F20"/>
          <w:sz w:val="24"/>
        </w:rPr>
        <w:t>with identification labels intact.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0"/>
          <w:numId w:val="7"/>
        </w:numPr>
        <w:tabs>
          <w:tab w:pos="1472" w:val="left" w:leader="none"/>
          <w:tab w:pos="1473" w:val="left" w:leader="none"/>
        </w:tabs>
        <w:spacing w:line="228" w:lineRule="auto" w:before="0" w:after="0"/>
        <w:ind w:left="1472" w:right="540" w:hanging="454"/>
        <w:jc w:val="left"/>
        <w:rPr>
          <w:sz w:val="24"/>
        </w:rPr>
      </w:pPr>
      <w:r>
        <w:rPr>
          <w:color w:val="231F20"/>
          <w:sz w:val="24"/>
        </w:rPr>
        <w:t>Store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materials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protected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from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exposure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harmful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site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conditions,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area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protected from vandalism and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theft.</w:t>
      </w:r>
    </w:p>
    <w:p>
      <w:pPr>
        <w:spacing w:after="0" w:line="228" w:lineRule="auto"/>
        <w:jc w:val="left"/>
        <w:rPr>
          <w:sz w:val="24"/>
        </w:rPr>
        <w:sectPr>
          <w:headerReference w:type="default" r:id="rId17"/>
          <w:pgSz w:w="11910" w:h="16840"/>
          <w:pgMar w:header="766" w:footer="379" w:top="1360" w:bottom="560" w:left="0" w:right="660"/>
        </w:sectPr>
      </w:pPr>
    </w:p>
    <w:p>
      <w:pPr>
        <w:pStyle w:val="BodyText"/>
        <w:rPr>
          <w:sz w:val="20"/>
        </w:rPr>
      </w:pPr>
    </w:p>
    <w:p>
      <w:pPr>
        <w:pStyle w:val="Heading2"/>
        <w:tabs>
          <w:tab w:pos="1017" w:val="left" w:leader="none"/>
          <w:tab w:pos="1683" w:val="left" w:leader="none"/>
          <w:tab w:pos="3967" w:val="left" w:leader="none"/>
        </w:tabs>
        <w:spacing w:before="226"/>
      </w:pPr>
      <w:r>
        <w:rPr>
          <w:color w:val="231F20"/>
          <w:w w:val="101"/>
          <w:shd w:fill="F2EEE8" w:color="auto" w:val="clear"/>
        </w:rPr>
        <w:t> </w:t>
      </w:r>
      <w:r>
        <w:rPr>
          <w:color w:val="231F20"/>
          <w:shd w:fill="F2EEE8" w:color="auto" w:val="clear"/>
        </w:rPr>
        <w:tab/>
        <w:t>2.1</w:t>
        <w:tab/>
        <w:t>Manufacturer</w:t>
        <w:tab/>
      </w:r>
    </w:p>
    <w:p>
      <w:pPr>
        <w:pStyle w:val="BodyText"/>
        <w:spacing w:before="5"/>
        <w:rPr>
          <w:sz w:val="18"/>
        </w:rPr>
      </w:pPr>
    </w:p>
    <w:p>
      <w:pPr>
        <w:pStyle w:val="BodyText"/>
        <w:tabs>
          <w:tab w:pos="1471" w:val="left" w:leader="none"/>
        </w:tabs>
        <w:spacing w:line="295" w:lineRule="exact" w:before="93"/>
        <w:ind w:left="1017"/>
      </w:pPr>
      <w:r>
        <w:rPr>
          <w:color w:val="231F20"/>
        </w:rPr>
        <w:t>A.</w:t>
        <w:tab/>
        <w:t>Warmup Inc. US +1 (888) 927-6333 / CA 1+ (888)</w:t>
      </w:r>
      <w:r>
        <w:rPr>
          <w:color w:val="231F20"/>
          <w:spacing w:val="-1"/>
        </w:rPr>
        <w:t> </w:t>
      </w:r>
      <w:r>
        <w:rPr>
          <w:color w:val="231F20"/>
        </w:rPr>
        <w:t>592-7687</w:t>
      </w:r>
    </w:p>
    <w:p>
      <w:pPr>
        <w:pStyle w:val="BodyText"/>
        <w:spacing w:line="228" w:lineRule="auto" w:before="5"/>
        <w:ind w:left="1471" w:right="1895"/>
      </w:pPr>
      <w:r>
        <w:rPr>
          <w:color w:val="231F20"/>
        </w:rPr>
        <w:t>52 Federal Road, Unit 1F, Danbury, CT 06810 </w:t>
      </w:r>
      <w:hyperlink r:id="rId19">
        <w:r>
          <w:rPr>
            <w:color w:val="231F20"/>
          </w:rPr>
          <w:t>www.warmup.com/www.warmup.ca</w:t>
        </w:r>
      </w:hyperlink>
    </w:p>
    <w:p>
      <w:pPr>
        <w:pStyle w:val="BodyText"/>
        <w:spacing w:before="2"/>
        <w:rPr>
          <w:sz w:val="22"/>
        </w:rPr>
      </w:pPr>
    </w:p>
    <w:p>
      <w:pPr>
        <w:pStyle w:val="BodyText"/>
        <w:tabs>
          <w:tab w:pos="1471" w:val="left" w:leader="none"/>
        </w:tabs>
        <w:spacing w:line="295" w:lineRule="exact"/>
        <w:ind w:left="1017"/>
      </w:pPr>
      <w:r>
        <w:rPr>
          <w:color w:val="231F20"/>
        </w:rPr>
        <w:t>B.</w:t>
        <w:tab/>
        <w:t>Substitution requests must be approved 15 days prior to bid due</w:t>
      </w:r>
      <w:r>
        <w:rPr>
          <w:color w:val="231F20"/>
          <w:spacing w:val="-2"/>
        </w:rPr>
        <w:t> </w:t>
      </w:r>
      <w:r>
        <w:rPr>
          <w:color w:val="231F20"/>
        </w:rPr>
        <w:t>date.</w:t>
      </w:r>
    </w:p>
    <w:p>
      <w:pPr>
        <w:pStyle w:val="BodyText"/>
        <w:spacing w:line="228" w:lineRule="auto" w:before="5"/>
        <w:ind w:left="1471" w:right="498"/>
      </w:pPr>
      <w:r>
        <w:rPr>
          <w:color w:val="231F20"/>
        </w:rPr>
        <w:t>Alternative equipment manufacturer must provide all relevant product data sheets, warranty, installation instructions, shop drawings, samples, and electrical schematics. Alternative equipment must meet specified material standards.</w:t>
      </w:r>
    </w:p>
    <w:p>
      <w:pPr>
        <w:pStyle w:val="BodyText"/>
        <w:spacing w:before="5"/>
        <w:rPr>
          <w:sz w:val="31"/>
        </w:rPr>
      </w:pPr>
    </w:p>
    <w:p>
      <w:pPr>
        <w:pStyle w:val="Heading2"/>
        <w:tabs>
          <w:tab w:pos="1017" w:val="left" w:leader="none"/>
          <w:tab w:pos="1683" w:val="left" w:leader="none"/>
          <w:tab w:pos="8104" w:val="left" w:leader="none"/>
        </w:tabs>
        <w:ind w:right="3139"/>
        <w:jc w:val="center"/>
      </w:pPr>
      <w:r>
        <w:rPr>
          <w:color w:val="231F20"/>
          <w:w w:val="101"/>
          <w:shd w:fill="F2EEE8" w:color="auto" w:val="clear"/>
        </w:rPr>
        <w:t> </w:t>
      </w:r>
      <w:r>
        <w:rPr>
          <w:color w:val="231F20"/>
          <w:shd w:fill="F2EEE8" w:color="auto" w:val="clear"/>
        </w:rPr>
        <w:tab/>
        <w:t>2.2</w:t>
        <w:tab/>
        <w:t>Electric Radiant FOIL heating</w:t>
      </w:r>
      <w:r>
        <w:rPr>
          <w:color w:val="231F20"/>
          <w:spacing w:val="-5"/>
          <w:shd w:fill="F2EEE8" w:color="auto" w:val="clear"/>
        </w:rPr>
        <w:t> </w:t>
      </w:r>
      <w:r>
        <w:rPr>
          <w:color w:val="231F20"/>
          <w:shd w:fill="F2EEE8" w:color="auto" w:val="clear"/>
        </w:rPr>
        <w:t>system</w:t>
        <w:tab/>
      </w:r>
    </w:p>
    <w:p>
      <w:pPr>
        <w:pStyle w:val="BodyText"/>
        <w:spacing w:before="6"/>
        <w:rPr>
          <w:sz w:val="18"/>
        </w:rPr>
      </w:pPr>
    </w:p>
    <w:p>
      <w:pPr>
        <w:pStyle w:val="ListParagraph"/>
        <w:numPr>
          <w:ilvl w:val="0"/>
          <w:numId w:val="8"/>
        </w:numPr>
        <w:tabs>
          <w:tab w:pos="1483" w:val="left" w:leader="none"/>
          <w:tab w:pos="1485" w:val="left" w:leader="none"/>
        </w:tabs>
        <w:spacing w:line="228" w:lineRule="auto" w:before="104" w:after="0"/>
        <w:ind w:left="1484" w:right="1020" w:hanging="454"/>
        <w:jc w:val="left"/>
        <w:rPr>
          <w:sz w:val="24"/>
        </w:rPr>
      </w:pPr>
      <w:r>
        <w:rPr>
          <w:color w:val="231F20"/>
          <w:sz w:val="24"/>
        </w:rPr>
        <w:t>The Warmup FOIL panel is an ultra-thin electric radiant heating system designed for use under laminates, </w:t>
      </w:r>
      <w:r>
        <w:rPr>
          <w:color w:val="231F20"/>
          <w:spacing w:val="-7"/>
          <w:sz w:val="24"/>
        </w:rPr>
        <w:t>LVT’s </w:t>
      </w:r>
      <w:r>
        <w:rPr>
          <w:color w:val="231F20"/>
          <w:sz w:val="24"/>
        </w:rPr>
        <w:t>and carpet. Heat is generated by twin conductor copper alloy heating cables, with an advanced fluoropolymer (ETFE) jacket. A braided ground</w:t>
      </w:r>
      <w:r>
        <w:rPr>
          <w:color w:val="231F20"/>
          <w:spacing w:val="-23"/>
          <w:sz w:val="24"/>
        </w:rPr>
        <w:t> </w:t>
      </w:r>
      <w:r>
        <w:rPr>
          <w:color w:val="231F20"/>
          <w:sz w:val="24"/>
        </w:rPr>
        <w:t>sheath</w:t>
      </w:r>
    </w:p>
    <w:p>
      <w:pPr>
        <w:pStyle w:val="BodyText"/>
        <w:spacing w:line="228" w:lineRule="auto" w:before="4"/>
        <w:ind w:left="1484" w:right="422"/>
      </w:pPr>
      <w:r>
        <w:rPr>
          <w:color w:val="231F20"/>
        </w:rPr>
        <w:t>surrounds the twin conductors. The FOIL layers serve as a heat dissipator and as the electrical ground. The mat can be field-modified to adjut to room layouts. Each mat has a 10ft lead factory-spliced to connect to the controller.</w:t>
      </w:r>
    </w:p>
    <w:p>
      <w:pPr>
        <w:pStyle w:val="BodyText"/>
        <w:spacing w:before="3"/>
        <w:rPr>
          <w:sz w:val="23"/>
        </w:rPr>
      </w:pPr>
    </w:p>
    <w:p>
      <w:pPr>
        <w:pStyle w:val="ListParagraph"/>
        <w:numPr>
          <w:ilvl w:val="0"/>
          <w:numId w:val="8"/>
        </w:numPr>
        <w:tabs>
          <w:tab w:pos="1483" w:val="left" w:leader="none"/>
          <w:tab w:pos="1485" w:val="left" w:leader="none"/>
        </w:tabs>
        <w:spacing w:line="228" w:lineRule="auto" w:before="0" w:after="0"/>
        <w:ind w:left="1484" w:right="685" w:hanging="454"/>
        <w:jc w:val="left"/>
        <w:rPr>
          <w:sz w:val="24"/>
        </w:rPr>
      </w:pPr>
      <w:r>
        <w:rPr>
          <w:color w:val="231F20"/>
          <w:sz w:val="24"/>
        </w:rPr>
        <w:t>The Warmup FOIL Heating Mat shall be 120 </w:t>
      </w:r>
      <w:r>
        <w:rPr>
          <w:color w:val="231F20"/>
          <w:spacing w:val="-3"/>
          <w:sz w:val="24"/>
        </w:rPr>
        <w:t>VAC </w:t>
      </w:r>
      <w:r>
        <w:rPr>
          <w:color w:val="231F20"/>
          <w:sz w:val="24"/>
        </w:rPr>
        <w:t>or 240 VAC, be UL listed and be backed by a 15 year Manufacturer’s </w:t>
      </w:r>
      <w:r>
        <w:rPr>
          <w:color w:val="231F20"/>
          <w:spacing w:val="-3"/>
          <w:sz w:val="24"/>
        </w:rPr>
        <w:t>Warranty. </w:t>
      </w:r>
      <w:r>
        <w:rPr>
          <w:color w:val="231F20"/>
          <w:sz w:val="24"/>
        </w:rPr>
        <w:t>Multiple mat systems must be wired in parallel to the </w:t>
      </w:r>
      <w:r>
        <w:rPr>
          <w:color w:val="231F20"/>
          <w:spacing w:val="-3"/>
          <w:sz w:val="24"/>
        </w:rPr>
        <w:t>controller.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tabs>
          <w:tab w:pos="1017" w:val="left" w:leader="none"/>
          <w:tab w:pos="1683" w:val="left" w:leader="none"/>
          <w:tab w:pos="6705" w:val="left" w:leader="none"/>
        </w:tabs>
        <w:spacing w:before="221"/>
      </w:pPr>
      <w:r>
        <w:rPr>
          <w:color w:val="231F20"/>
          <w:w w:val="101"/>
          <w:shd w:fill="F2EEE8" w:color="auto" w:val="clear"/>
        </w:rPr>
        <w:t> </w:t>
      </w:r>
      <w:r>
        <w:rPr>
          <w:color w:val="231F20"/>
          <w:shd w:fill="F2EEE8" w:color="auto" w:val="clear"/>
        </w:rPr>
        <w:tab/>
        <w:t>2.3</w:t>
        <w:tab/>
        <w:t>Controls, Sensors &amp;</w:t>
      </w:r>
      <w:r>
        <w:rPr>
          <w:color w:val="231F20"/>
          <w:spacing w:val="-24"/>
          <w:shd w:fill="F2EEE8" w:color="auto" w:val="clear"/>
        </w:rPr>
        <w:t> </w:t>
      </w:r>
      <w:r>
        <w:rPr>
          <w:color w:val="231F20"/>
          <w:shd w:fill="F2EEE8" w:color="auto" w:val="clear"/>
        </w:rPr>
        <w:t>Accessories</w:t>
        <w:tab/>
      </w:r>
    </w:p>
    <w:p>
      <w:pPr>
        <w:pStyle w:val="BodyText"/>
        <w:spacing w:before="1"/>
        <w:rPr>
          <w:sz w:val="19"/>
        </w:rPr>
      </w:pPr>
    </w:p>
    <w:p>
      <w:pPr>
        <w:pStyle w:val="ListParagraph"/>
        <w:numPr>
          <w:ilvl w:val="0"/>
          <w:numId w:val="9"/>
        </w:numPr>
        <w:tabs>
          <w:tab w:pos="1483" w:val="left" w:leader="none"/>
          <w:tab w:pos="1485" w:val="left" w:leader="none"/>
        </w:tabs>
        <w:spacing w:line="228" w:lineRule="auto" w:before="105" w:after="0"/>
        <w:ind w:left="1484" w:right="1584" w:hanging="454"/>
        <w:jc w:val="left"/>
        <w:rPr>
          <w:sz w:val="24"/>
        </w:rPr>
      </w:pPr>
      <w:r>
        <w:rPr>
          <w:color w:val="231F20"/>
          <w:sz w:val="24"/>
        </w:rPr>
        <w:t>The 4iE control series provide a touch-screen interface and a 7-day</w:t>
      </w:r>
      <w:r>
        <w:rPr>
          <w:color w:val="231F20"/>
          <w:spacing w:val="-28"/>
          <w:sz w:val="24"/>
        </w:rPr>
        <w:t> </w:t>
      </w:r>
      <w:r>
        <w:rPr>
          <w:color w:val="231F20"/>
          <w:sz w:val="24"/>
        </w:rPr>
        <w:t>programmable thermostat. The 4iE-03 &amp; 4iE-04 models are equipped with a built-in Class A GFCI protection. The 4iE-04 model provides WiFi connectivity to operate the heating system via the MyHeating app, the </w:t>
      </w:r>
      <w:r>
        <w:rPr>
          <w:color w:val="231F20"/>
          <w:spacing w:val="-3"/>
          <w:sz w:val="24"/>
        </w:rPr>
        <w:t>my.warmup.com </w:t>
      </w:r>
      <w:r>
        <w:rPr>
          <w:color w:val="231F20"/>
          <w:sz w:val="24"/>
        </w:rPr>
        <w:t>portal or third party systems using a Control 4 bridge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(provided).</w:t>
      </w:r>
    </w:p>
    <w:p>
      <w:pPr>
        <w:pStyle w:val="BodyText"/>
        <w:spacing w:line="228" w:lineRule="auto" w:before="7"/>
        <w:ind w:left="1484" w:right="679"/>
        <w:jc w:val="both"/>
      </w:pPr>
      <w:r>
        <w:rPr>
          <w:color w:val="231F20"/>
        </w:rPr>
        <w:t>All Warmup thermostats are dual voltage and supplied with a 10ft low voltage floor sensor. Each thermostat can switch up to 15Amps of load. Warmup thermostats come with a 3</w:t>
      </w:r>
      <w:r>
        <w:rPr>
          <w:color w:val="231F20"/>
          <w:spacing w:val="-22"/>
        </w:rPr>
        <w:t> </w:t>
      </w:r>
      <w:r>
        <w:rPr>
          <w:color w:val="231F20"/>
        </w:rPr>
        <w:t>year </w:t>
      </w:r>
      <w:r>
        <w:rPr>
          <w:color w:val="231F20"/>
          <w:spacing w:val="-3"/>
        </w:rPr>
        <w:t>warranty.</w:t>
      </w:r>
    </w:p>
    <w:p>
      <w:pPr>
        <w:pStyle w:val="BodyText"/>
        <w:rPr>
          <w:sz w:val="30"/>
        </w:rPr>
      </w:pPr>
    </w:p>
    <w:p>
      <w:pPr>
        <w:pStyle w:val="ListParagraph"/>
        <w:numPr>
          <w:ilvl w:val="0"/>
          <w:numId w:val="9"/>
        </w:numPr>
        <w:tabs>
          <w:tab w:pos="1483" w:val="left" w:leader="none"/>
          <w:tab w:pos="1485" w:val="left" w:leader="none"/>
        </w:tabs>
        <w:spacing w:line="228" w:lineRule="auto" w:before="203" w:after="0"/>
        <w:ind w:left="1484" w:right="583" w:hanging="454"/>
        <w:jc w:val="left"/>
        <w:rPr>
          <w:sz w:val="24"/>
        </w:rPr>
      </w:pPr>
      <w:r>
        <w:rPr>
          <w:color w:val="231F20"/>
          <w:sz w:val="24"/>
        </w:rPr>
        <w:t>Insulation may be provided to prevent heat losses under the area from: concrete slab sub- floors, unheated crawl spaces, unheated garages, etc. WIU (page 2) shall be at least ¼” thick (6mm), and must be tested for thermal resistance in </w:t>
      </w:r>
      <w:r>
        <w:rPr>
          <w:color w:val="231F20"/>
          <w:spacing w:val="-3"/>
          <w:sz w:val="24"/>
        </w:rPr>
        <w:t>accordance </w:t>
      </w:r>
      <w:r>
        <w:rPr>
          <w:color w:val="231F20"/>
          <w:sz w:val="24"/>
        </w:rPr>
        <w:t>with ASTM C 177-85 . Any flexible insulation must present a reflective FOIL backing as well as vapor barrier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properties.</w:t>
      </w:r>
    </w:p>
    <w:p>
      <w:pPr>
        <w:spacing w:after="0" w:line="228" w:lineRule="auto"/>
        <w:jc w:val="left"/>
        <w:rPr>
          <w:sz w:val="24"/>
        </w:rPr>
        <w:sectPr>
          <w:headerReference w:type="default" r:id="rId18"/>
          <w:pgSz w:w="11910" w:h="16840"/>
          <w:pgMar w:header="766" w:footer="379" w:top="1360" w:bottom="560" w:left="0" w:right="660"/>
        </w:sectPr>
      </w:pPr>
    </w:p>
    <w:p>
      <w:pPr>
        <w:pStyle w:val="BodyText"/>
        <w:rPr>
          <w:sz w:val="20"/>
        </w:rPr>
      </w:pPr>
    </w:p>
    <w:p>
      <w:pPr>
        <w:pStyle w:val="Heading2"/>
        <w:tabs>
          <w:tab w:pos="1017" w:val="left" w:leader="none"/>
          <w:tab w:pos="1683" w:val="left" w:leader="none"/>
          <w:tab w:pos="6105" w:val="left" w:leader="none"/>
        </w:tabs>
        <w:spacing w:before="226"/>
      </w:pPr>
      <w:r>
        <w:rPr>
          <w:color w:val="231F20"/>
          <w:w w:val="101"/>
          <w:shd w:fill="F2EEE8" w:color="auto" w:val="clear"/>
        </w:rPr>
        <w:t> </w:t>
      </w:r>
      <w:r>
        <w:rPr>
          <w:color w:val="231F20"/>
          <w:shd w:fill="F2EEE8" w:color="auto" w:val="clear"/>
        </w:rPr>
        <w:tab/>
        <w:t>3.1</w:t>
        <w:tab/>
      </w:r>
      <w:r>
        <w:rPr>
          <w:color w:val="231F20"/>
          <w:spacing w:val="-3"/>
          <w:shd w:fill="F2EEE8" w:color="auto" w:val="clear"/>
        </w:rPr>
        <w:t>Manufacturer’s</w:t>
      </w:r>
      <w:r>
        <w:rPr>
          <w:color w:val="231F20"/>
          <w:spacing w:val="10"/>
          <w:shd w:fill="F2EEE8" w:color="auto" w:val="clear"/>
        </w:rPr>
        <w:t> </w:t>
      </w:r>
      <w:r>
        <w:rPr>
          <w:color w:val="231F20"/>
          <w:shd w:fill="F2EEE8" w:color="auto" w:val="clear"/>
        </w:rPr>
        <w:t>Instructions</w:t>
        <w:tab/>
      </w:r>
    </w:p>
    <w:p>
      <w:pPr>
        <w:pStyle w:val="BodyText"/>
        <w:spacing w:before="5"/>
        <w:rPr>
          <w:sz w:val="18"/>
        </w:rPr>
      </w:pPr>
    </w:p>
    <w:p>
      <w:pPr>
        <w:pStyle w:val="BodyText"/>
        <w:tabs>
          <w:tab w:pos="1478" w:val="left" w:leader="none"/>
        </w:tabs>
        <w:spacing w:line="228" w:lineRule="auto" w:before="104"/>
        <w:ind w:left="1478" w:right="552" w:hanging="454"/>
      </w:pPr>
      <w:r>
        <w:rPr>
          <w:color w:val="231F20"/>
        </w:rPr>
        <w:t>A.</w:t>
        <w:tab/>
        <w:t>Comply with manufacturer’s product data, including product technical bulletins,</w:t>
      </w:r>
      <w:r>
        <w:rPr>
          <w:color w:val="231F20"/>
          <w:spacing w:val="-35"/>
        </w:rPr>
        <w:t> </w:t>
      </w:r>
      <w:r>
        <w:rPr>
          <w:color w:val="231F20"/>
        </w:rPr>
        <w:t>installation instructions and design</w:t>
      </w:r>
      <w:r>
        <w:rPr>
          <w:color w:val="231F20"/>
          <w:spacing w:val="-1"/>
        </w:rPr>
        <w:t> </w:t>
      </w:r>
      <w:r>
        <w:rPr>
          <w:color w:val="231F20"/>
        </w:rPr>
        <w:t>drawings.</w:t>
      </w:r>
    </w:p>
    <w:p>
      <w:pPr>
        <w:pStyle w:val="BodyText"/>
        <w:rPr>
          <w:sz w:val="32"/>
        </w:rPr>
      </w:pPr>
    </w:p>
    <w:p>
      <w:pPr>
        <w:pStyle w:val="Heading2"/>
        <w:tabs>
          <w:tab w:pos="1017" w:val="left" w:leader="none"/>
          <w:tab w:pos="1683" w:val="left" w:leader="none"/>
          <w:tab w:pos="6105" w:val="left" w:leader="none"/>
        </w:tabs>
      </w:pPr>
      <w:r>
        <w:rPr>
          <w:color w:val="231F20"/>
          <w:w w:val="101"/>
          <w:shd w:fill="F2EEE8" w:color="auto" w:val="clear"/>
        </w:rPr>
        <w:t> </w:t>
      </w:r>
      <w:r>
        <w:rPr>
          <w:color w:val="231F20"/>
          <w:shd w:fill="F2EEE8" w:color="auto" w:val="clear"/>
        </w:rPr>
        <w:tab/>
        <w:t>3.2</w:t>
        <w:tab/>
        <w:t>Examination &amp;</w:t>
      </w:r>
      <w:r>
        <w:rPr>
          <w:color w:val="231F20"/>
          <w:spacing w:val="-9"/>
          <w:shd w:fill="F2EEE8" w:color="auto" w:val="clear"/>
        </w:rPr>
        <w:t> </w:t>
      </w:r>
      <w:r>
        <w:rPr>
          <w:color w:val="231F20"/>
          <w:shd w:fill="F2EEE8" w:color="auto" w:val="clear"/>
        </w:rPr>
        <w:t>Preparation</w:t>
        <w:tab/>
      </w:r>
    </w:p>
    <w:p>
      <w:pPr>
        <w:pStyle w:val="BodyText"/>
        <w:spacing w:before="6"/>
        <w:rPr>
          <w:sz w:val="18"/>
        </w:rPr>
      </w:pPr>
    </w:p>
    <w:p>
      <w:pPr>
        <w:pStyle w:val="ListParagraph"/>
        <w:numPr>
          <w:ilvl w:val="0"/>
          <w:numId w:val="10"/>
        </w:numPr>
        <w:tabs>
          <w:tab w:pos="1471" w:val="left" w:leader="none"/>
          <w:tab w:pos="1472" w:val="left" w:leader="none"/>
        </w:tabs>
        <w:spacing w:line="240" w:lineRule="auto" w:before="92" w:after="0"/>
        <w:ind w:left="1471" w:right="0" w:hanging="454"/>
        <w:jc w:val="left"/>
        <w:rPr>
          <w:sz w:val="24"/>
        </w:rPr>
      </w:pPr>
      <w:r>
        <w:rPr>
          <w:color w:val="231F20"/>
          <w:sz w:val="24"/>
        </w:rPr>
        <w:t>Installer shall verify field measurements are as shown on Shop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Drawing(s).</w:t>
      </w:r>
    </w:p>
    <w:p>
      <w:pPr>
        <w:pStyle w:val="BodyText"/>
        <w:spacing w:before="10"/>
        <w:rPr>
          <w:sz w:val="22"/>
        </w:rPr>
      </w:pPr>
    </w:p>
    <w:p>
      <w:pPr>
        <w:pStyle w:val="ListParagraph"/>
        <w:numPr>
          <w:ilvl w:val="0"/>
          <w:numId w:val="10"/>
        </w:numPr>
        <w:tabs>
          <w:tab w:pos="1471" w:val="left" w:leader="none"/>
          <w:tab w:pos="1472" w:val="left" w:leader="none"/>
        </w:tabs>
        <w:spacing w:line="228" w:lineRule="auto" w:before="0" w:after="0"/>
        <w:ind w:left="1471" w:right="861" w:hanging="454"/>
        <w:jc w:val="left"/>
        <w:rPr>
          <w:sz w:val="24"/>
        </w:rPr>
      </w:pPr>
      <w:r>
        <w:rPr>
          <w:color w:val="231F20"/>
          <w:sz w:val="24"/>
        </w:rPr>
        <w:t>Any revisions needed to Shop Drawing(s), or product provided, must be corrected prior</w:t>
      </w:r>
      <w:r>
        <w:rPr>
          <w:color w:val="231F20"/>
          <w:spacing w:val="-30"/>
          <w:sz w:val="24"/>
        </w:rPr>
        <w:t> </w:t>
      </w:r>
      <w:r>
        <w:rPr>
          <w:color w:val="231F20"/>
          <w:sz w:val="24"/>
        </w:rPr>
        <w:t>to proceeding with the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installation.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0"/>
          <w:numId w:val="10"/>
        </w:numPr>
        <w:tabs>
          <w:tab w:pos="1471" w:val="left" w:leader="none"/>
          <w:tab w:pos="1472" w:val="left" w:leader="none"/>
        </w:tabs>
        <w:spacing w:line="228" w:lineRule="auto" w:before="0" w:after="0"/>
        <w:ind w:left="1471" w:right="775" w:hanging="454"/>
        <w:jc w:val="left"/>
        <w:rPr>
          <w:sz w:val="24"/>
        </w:rPr>
      </w:pPr>
      <w:r>
        <w:rPr>
          <w:color w:val="231F20"/>
          <w:sz w:val="24"/>
        </w:rPr>
        <w:t>Prepare your base, as per the standard guidelines set forth by the American Society of Concrete Contractors. Remove any rip-rap, glass, or other sharp objects, that may</w:t>
      </w:r>
      <w:r>
        <w:rPr>
          <w:color w:val="231F20"/>
          <w:spacing w:val="-19"/>
          <w:sz w:val="24"/>
        </w:rPr>
        <w:t> </w:t>
      </w:r>
      <w:r>
        <w:rPr>
          <w:color w:val="231F20"/>
          <w:sz w:val="24"/>
        </w:rPr>
        <w:t>damage the heating mat.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0"/>
          <w:numId w:val="10"/>
        </w:numPr>
        <w:tabs>
          <w:tab w:pos="1471" w:val="left" w:leader="none"/>
          <w:tab w:pos="1472" w:val="left" w:leader="none"/>
        </w:tabs>
        <w:spacing w:line="240" w:lineRule="auto" w:before="0" w:after="0"/>
        <w:ind w:left="1471" w:right="0" w:hanging="454"/>
        <w:jc w:val="left"/>
        <w:rPr>
          <w:sz w:val="24"/>
        </w:rPr>
      </w:pPr>
      <w:r>
        <w:rPr>
          <w:color w:val="231F20"/>
          <w:sz w:val="24"/>
        </w:rPr>
        <w:t>Installer shall verify that the required power is available in proper location, and ready for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use.</w:t>
      </w:r>
    </w:p>
    <w:p>
      <w:pPr>
        <w:pStyle w:val="BodyText"/>
        <w:spacing w:before="2"/>
        <w:rPr>
          <w:sz w:val="31"/>
        </w:rPr>
      </w:pPr>
    </w:p>
    <w:p>
      <w:pPr>
        <w:pStyle w:val="Heading2"/>
        <w:tabs>
          <w:tab w:pos="1017" w:val="left" w:leader="none"/>
          <w:tab w:pos="1683" w:val="left" w:leader="none"/>
          <w:tab w:pos="3749" w:val="left" w:leader="none"/>
        </w:tabs>
      </w:pPr>
      <w:r>
        <w:rPr>
          <w:color w:val="231F20"/>
          <w:w w:val="101"/>
          <w:shd w:fill="F2EEE8" w:color="auto" w:val="clear"/>
        </w:rPr>
        <w:t> </w:t>
      </w:r>
      <w:r>
        <w:rPr>
          <w:color w:val="231F20"/>
          <w:shd w:fill="F2EEE8" w:color="auto" w:val="clear"/>
        </w:rPr>
        <w:tab/>
        <w:t>3.3</w:t>
        <w:tab/>
        <w:t>Installation</w:t>
        <w:tab/>
      </w:r>
    </w:p>
    <w:p>
      <w:pPr>
        <w:pStyle w:val="BodyText"/>
        <w:spacing w:before="5"/>
        <w:rPr>
          <w:sz w:val="18"/>
        </w:rPr>
      </w:pPr>
    </w:p>
    <w:p>
      <w:pPr>
        <w:pStyle w:val="BodyText"/>
        <w:tabs>
          <w:tab w:pos="1476" w:val="left" w:leader="none"/>
        </w:tabs>
        <w:spacing w:line="228" w:lineRule="auto" w:before="105"/>
        <w:ind w:left="1476" w:right="1895" w:hanging="454"/>
      </w:pPr>
      <w:r>
        <w:rPr>
          <w:color w:val="231F20"/>
        </w:rPr>
        <w:t>A.</w:t>
        <w:tab/>
        <w:t>Complete</w:t>
      </w:r>
      <w:r>
        <w:rPr>
          <w:color w:val="231F20"/>
          <w:spacing w:val="-6"/>
        </w:rPr>
        <w:t> </w:t>
      </w:r>
      <w:r>
        <w:rPr>
          <w:color w:val="231F20"/>
        </w:rPr>
        <w:t>installation</w:t>
      </w:r>
      <w:r>
        <w:rPr>
          <w:color w:val="231F20"/>
          <w:spacing w:val="-6"/>
        </w:rPr>
        <w:t> </w:t>
      </w:r>
      <w:r>
        <w:rPr>
          <w:color w:val="231F20"/>
        </w:rPr>
        <w:t>must</w:t>
      </w:r>
      <w:r>
        <w:rPr>
          <w:color w:val="231F20"/>
          <w:spacing w:val="-6"/>
        </w:rPr>
        <w:t> </w:t>
      </w:r>
      <w:r>
        <w:rPr>
          <w:color w:val="231F20"/>
        </w:rPr>
        <w:t>conform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appropriate</w:t>
      </w:r>
      <w:r>
        <w:rPr>
          <w:color w:val="231F20"/>
          <w:spacing w:val="-6"/>
        </w:rPr>
        <w:t> </w:t>
      </w:r>
      <w:r>
        <w:rPr>
          <w:color w:val="231F20"/>
        </w:rPr>
        <w:t>manufacturer’s</w:t>
      </w:r>
      <w:r>
        <w:rPr>
          <w:color w:val="231F20"/>
          <w:spacing w:val="-6"/>
        </w:rPr>
        <w:t> </w:t>
      </w:r>
      <w:r>
        <w:rPr>
          <w:color w:val="231F20"/>
        </w:rPr>
        <w:t>installation instructions, National Electrical Code, and appropriate local</w:t>
      </w:r>
      <w:r>
        <w:rPr>
          <w:color w:val="231F20"/>
          <w:spacing w:val="-1"/>
        </w:rPr>
        <w:t> </w:t>
      </w:r>
      <w:r>
        <w:rPr>
          <w:color w:val="231F20"/>
        </w:rPr>
        <w:t>codes.</w:t>
      </w:r>
    </w:p>
    <w:p>
      <w:pPr>
        <w:pStyle w:val="BodyText"/>
        <w:spacing w:before="7"/>
        <w:rPr>
          <w:sz w:val="31"/>
        </w:rPr>
      </w:pPr>
    </w:p>
    <w:p>
      <w:pPr>
        <w:pStyle w:val="Heading2"/>
        <w:tabs>
          <w:tab w:pos="1017" w:val="left" w:leader="none"/>
          <w:tab w:pos="1683" w:val="left" w:leader="none"/>
          <w:tab w:pos="5080" w:val="left" w:leader="none"/>
        </w:tabs>
      </w:pPr>
      <w:r>
        <w:rPr>
          <w:color w:val="231F20"/>
          <w:w w:val="101"/>
          <w:shd w:fill="F2EEE8" w:color="auto" w:val="clear"/>
        </w:rPr>
        <w:t> </w:t>
      </w:r>
      <w:r>
        <w:rPr>
          <w:color w:val="231F20"/>
          <w:shd w:fill="F2EEE8" w:color="auto" w:val="clear"/>
        </w:rPr>
        <w:tab/>
        <w:t>3.4</w:t>
        <w:tab/>
        <w:t>Field Quality</w:t>
      </w:r>
      <w:r>
        <w:rPr>
          <w:color w:val="231F20"/>
          <w:spacing w:val="-2"/>
          <w:shd w:fill="F2EEE8" w:color="auto" w:val="clear"/>
        </w:rPr>
        <w:t> </w:t>
      </w:r>
      <w:r>
        <w:rPr>
          <w:color w:val="231F20"/>
          <w:shd w:fill="F2EEE8" w:color="auto" w:val="clear"/>
        </w:rPr>
        <w:t>Control</w:t>
        <w:tab/>
      </w:r>
    </w:p>
    <w:p>
      <w:pPr>
        <w:pStyle w:val="BodyText"/>
        <w:spacing w:before="5"/>
        <w:rPr>
          <w:sz w:val="18"/>
        </w:rPr>
      </w:pPr>
    </w:p>
    <w:p>
      <w:pPr>
        <w:pStyle w:val="ListParagraph"/>
        <w:numPr>
          <w:ilvl w:val="0"/>
          <w:numId w:val="11"/>
        </w:numPr>
        <w:tabs>
          <w:tab w:pos="1476" w:val="left" w:leader="none"/>
          <w:tab w:pos="1477" w:val="left" w:leader="none"/>
        </w:tabs>
        <w:spacing w:line="228" w:lineRule="auto" w:before="105" w:after="0"/>
        <w:ind w:left="1476" w:right="544" w:hanging="454"/>
        <w:jc w:val="left"/>
        <w:rPr>
          <w:sz w:val="24"/>
        </w:rPr>
      </w:pPr>
      <w:r>
        <w:rPr>
          <w:color w:val="231F20"/>
          <w:spacing w:val="-4"/>
          <w:sz w:val="24"/>
        </w:rPr>
        <w:t>Test </w:t>
      </w:r>
      <w:r>
        <w:rPr>
          <w:color w:val="231F20"/>
          <w:sz w:val="24"/>
        </w:rPr>
        <w:t>each mat heater for ohms, with the Warmup Alligator before, during and after the</w:t>
      </w:r>
      <w:r>
        <w:rPr>
          <w:color w:val="231F20"/>
          <w:spacing w:val="-27"/>
          <w:sz w:val="24"/>
        </w:rPr>
        <w:t> </w:t>
      </w:r>
      <w:r>
        <w:rPr>
          <w:color w:val="231F20"/>
          <w:sz w:val="24"/>
        </w:rPr>
        <w:t>instal- lation of the wood, carpet or </w:t>
      </w:r>
      <w:r>
        <w:rPr>
          <w:color w:val="231F20"/>
          <w:spacing w:val="-12"/>
          <w:sz w:val="24"/>
        </w:rPr>
        <w:t>LVT. </w:t>
      </w:r>
      <w:r>
        <w:rPr>
          <w:color w:val="231F20"/>
          <w:sz w:val="24"/>
        </w:rPr>
        <w:t>Record these values on the warranty form provided at the end of the Warmup Installation Manual.</w:t>
      </w:r>
    </w:p>
    <w:p>
      <w:pPr>
        <w:pStyle w:val="BodyText"/>
        <w:spacing w:before="3"/>
        <w:rPr>
          <w:sz w:val="22"/>
        </w:rPr>
      </w:pPr>
    </w:p>
    <w:p>
      <w:pPr>
        <w:pStyle w:val="ListParagraph"/>
        <w:numPr>
          <w:ilvl w:val="0"/>
          <w:numId w:val="11"/>
        </w:numPr>
        <w:tabs>
          <w:tab w:pos="1476" w:val="left" w:leader="none"/>
          <w:tab w:pos="1477" w:val="left" w:leader="none"/>
        </w:tabs>
        <w:spacing w:line="240" w:lineRule="auto" w:before="0" w:after="0"/>
        <w:ind w:left="1476" w:right="0" w:hanging="454"/>
        <w:jc w:val="left"/>
        <w:rPr>
          <w:sz w:val="24"/>
        </w:rPr>
      </w:pPr>
      <w:r>
        <w:rPr>
          <w:color w:val="231F20"/>
          <w:sz w:val="24"/>
        </w:rPr>
        <w:t>Final testing of the installation resistance must be done by a licensed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electrician.</w:t>
      </w: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0"/>
          <w:numId w:val="11"/>
        </w:numPr>
        <w:tabs>
          <w:tab w:pos="1476" w:val="left" w:leader="none"/>
          <w:tab w:pos="1477" w:val="left" w:leader="none"/>
        </w:tabs>
        <w:spacing w:line="240" w:lineRule="auto" w:before="0" w:after="0"/>
        <w:ind w:left="1476" w:right="0" w:hanging="454"/>
        <w:jc w:val="left"/>
        <w:rPr>
          <w:sz w:val="24"/>
        </w:rPr>
      </w:pPr>
      <w:r>
        <w:rPr>
          <w:color w:val="231F20"/>
          <w:sz w:val="24"/>
        </w:rPr>
        <w:t>Start-up (first-time activation) may proceed immediately after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testing.</w:t>
      </w: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0"/>
          <w:numId w:val="11"/>
        </w:numPr>
        <w:tabs>
          <w:tab w:pos="1476" w:val="left" w:leader="none"/>
          <w:tab w:pos="1477" w:val="left" w:leader="none"/>
        </w:tabs>
        <w:spacing w:line="240" w:lineRule="auto" w:before="0" w:after="0"/>
        <w:ind w:left="1476" w:right="0" w:hanging="454"/>
        <w:jc w:val="left"/>
        <w:rPr>
          <w:sz w:val="24"/>
        </w:rPr>
      </w:pPr>
      <w:r>
        <w:rPr>
          <w:color w:val="231F20"/>
          <w:sz w:val="24"/>
        </w:rPr>
        <w:t>During </w:t>
      </w:r>
      <w:r>
        <w:rPr>
          <w:color w:val="231F20"/>
          <w:spacing w:val="-5"/>
          <w:sz w:val="24"/>
        </w:rPr>
        <w:t>“Start-Up”, </w:t>
      </w:r>
      <w:r>
        <w:rPr>
          <w:color w:val="231F20"/>
          <w:sz w:val="24"/>
        </w:rPr>
        <w:t>voltage and amps should be tested by a licensed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electrician</w:t>
      </w: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0"/>
          <w:numId w:val="11"/>
        </w:numPr>
        <w:tabs>
          <w:tab w:pos="1476" w:val="left" w:leader="none"/>
          <w:tab w:pos="1477" w:val="left" w:leader="none"/>
        </w:tabs>
        <w:spacing w:line="240" w:lineRule="auto" w:before="0" w:after="0"/>
        <w:ind w:left="1476" w:right="0" w:hanging="454"/>
        <w:jc w:val="left"/>
        <w:rPr>
          <w:sz w:val="24"/>
        </w:rPr>
      </w:pPr>
      <w:r>
        <w:rPr>
          <w:color w:val="231F20"/>
          <w:sz w:val="24"/>
        </w:rPr>
        <w:t>All testing records should be copied and provided to the</w:t>
      </w:r>
      <w:r>
        <w:rPr>
          <w:color w:val="231F20"/>
          <w:spacing w:val="-3"/>
          <w:sz w:val="24"/>
        </w:rPr>
        <w:t> Owner.</w:t>
      </w:r>
    </w:p>
    <w:sectPr>
      <w:headerReference w:type="default" r:id="rId20"/>
      <w:pgSz w:w="11910" w:h="16840"/>
      <w:pgMar w:header="766" w:footer="379" w:top="1360" w:bottom="560" w:left="0" w:right="6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ax Offc">
    <w:altName w:val="Dax Offc"/>
    <w:charset w:val="0"/>
    <w:family w:val="swiss"/>
    <w:pitch w:val="variable"/>
  </w:font>
  <w:font w:name="Source Sans Pro">
    <w:altName w:val="Source Sans Pro"/>
    <w:charset w:val="0"/>
    <w:family w:val="swiss"/>
    <w:pitch w:val="variable"/>
  </w:font>
  <w:font w:name="Dax Offc Medium">
    <w:altName w:val="Dax Offc Medium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-1pt;margin-top:811.935913pt;width:598.3pt;height:23.75pt;mso-position-horizontal-relative:page;mso-position-vertical-relative:page;z-index:-8128" type="#_x0000_t202" filled="false" stroked="false">
          <v:textbox inset="0,0,0,0">
            <w:txbxContent>
              <w:p>
                <w:pPr>
                  <w:tabs>
                    <w:tab w:pos="5888" w:val="left" w:leader="none"/>
                    <w:tab w:pos="11925" w:val="left" w:leader="none"/>
                  </w:tabs>
                  <w:spacing w:before="16"/>
                  <w:ind w:left="20" w:right="0" w:firstLine="0"/>
                  <w:jc w:val="left"/>
                  <w:rPr>
                    <w:b/>
                    <w:sz w:val="32"/>
                  </w:rPr>
                </w:pPr>
                <w:r>
                  <w:rPr>
                    <w:rFonts w:ascii="Times New Roman"/>
                    <w:color w:val="FFFFFF"/>
                    <w:sz w:val="32"/>
                    <w:shd w:fill="E27C3A" w:color="auto" w:val="clear"/>
                  </w:rPr>
                  <w:t> </w:t>
                  <w:tab/>
                </w:r>
                <w:r>
                  <w:rPr/>
                  <w:fldChar w:fldCharType="begin"/>
                </w:r>
                <w:r>
                  <w:rPr>
                    <w:b/>
                    <w:color w:val="FFFFFF"/>
                    <w:sz w:val="32"/>
                    <w:shd w:fill="E27C3A" w:color="auto" w:val="clear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b/>
                    <w:color w:val="FFFFFF"/>
                    <w:sz w:val="32"/>
                    <w:shd w:fill="E27C3A" w:color="auto" w:val="clear"/>
                  </w:rPr>
                  <w:tab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-1pt;margin-top:37.465816pt;width:236.6pt;height:32.0500pt;mso-position-horizontal-relative:page;mso-position-vertical-relative:page;z-index:-8152" type="#_x0000_t202" filled="false" stroked="false">
          <v:textbox inset="0,0,0,0">
            <w:txbxContent>
              <w:p>
                <w:pPr>
                  <w:tabs>
                    <w:tab w:pos="1037" w:val="left" w:leader="none"/>
                    <w:tab w:pos="4711" w:val="left" w:leader="none"/>
                  </w:tabs>
                  <w:spacing w:before="15"/>
                  <w:ind w:left="20" w:right="0" w:firstLine="0"/>
                  <w:jc w:val="left"/>
                  <w:rPr>
                    <w:rFonts w:ascii="Dax Offc Medium"/>
                    <w:sz w:val="48"/>
                  </w:rPr>
                </w:pPr>
                <w:r>
                  <w:rPr>
                    <w:rFonts w:ascii="Dax Offc Medium"/>
                    <w:color w:val="FFFFFF"/>
                    <w:sz w:val="48"/>
                    <w:shd w:fill="E27C3A" w:color="auto" w:val="clear"/>
                  </w:rPr>
                  <w:t> </w:t>
                  <w:tab/>
                  <w:t>Part 1 -</w:t>
                </w:r>
                <w:r>
                  <w:rPr>
                    <w:rFonts w:ascii="Dax Offc Medium"/>
                    <w:color w:val="FFFFFF"/>
                    <w:spacing w:val="-8"/>
                    <w:sz w:val="48"/>
                    <w:shd w:fill="E27C3A" w:color="auto" w:val="clear"/>
                  </w:rPr>
                  <w:t> </w:t>
                </w:r>
                <w:r>
                  <w:rPr>
                    <w:rFonts w:ascii="Dax Offc Medium"/>
                    <w:color w:val="FFFFFF"/>
                    <w:sz w:val="48"/>
                    <w:shd w:fill="E27C3A" w:color="auto" w:val="clear"/>
                  </w:rPr>
                  <w:t>General</w:t>
                  <w:tab/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-1pt;margin-top:37.324116pt;width:357.3pt;height:32.0500pt;mso-position-horizontal-relative:page;mso-position-vertical-relative:page;z-index:-8104" type="#_x0000_t202" filled="false" stroked="false">
          <v:textbox inset="0,0,0,0">
            <w:txbxContent>
              <w:p>
                <w:pPr>
                  <w:tabs>
                    <w:tab w:pos="1037" w:val="left" w:leader="none"/>
                    <w:tab w:pos="7125" w:val="left" w:leader="none"/>
                  </w:tabs>
                  <w:spacing w:before="15"/>
                  <w:ind w:left="20" w:right="0" w:firstLine="0"/>
                  <w:jc w:val="left"/>
                  <w:rPr>
                    <w:rFonts w:ascii="Dax Offc Medium"/>
                    <w:sz w:val="48"/>
                  </w:rPr>
                </w:pPr>
                <w:r>
                  <w:rPr>
                    <w:rFonts w:ascii="Dax Offc Medium"/>
                    <w:color w:val="FFFFFF"/>
                    <w:sz w:val="48"/>
                    <w:shd w:fill="E27C3A" w:color="auto" w:val="clear"/>
                  </w:rPr>
                  <w:t> </w:t>
                  <w:tab/>
                  <w:t>Part 1 - General</w:t>
                </w:r>
                <w:r>
                  <w:rPr>
                    <w:rFonts w:ascii="Dax Offc Medium"/>
                    <w:color w:val="FFFFFF"/>
                    <w:spacing w:val="-28"/>
                    <w:sz w:val="48"/>
                    <w:shd w:fill="E27C3A" w:color="auto" w:val="clear"/>
                  </w:rPr>
                  <w:t> </w:t>
                </w:r>
                <w:r>
                  <w:rPr>
                    <w:rFonts w:ascii="Dax Offc Medium"/>
                    <w:color w:val="FFFFFF"/>
                    <w:sz w:val="48"/>
                    <w:shd w:fill="E27C3A" w:color="auto" w:val="clear"/>
                  </w:rPr>
                  <w:t>(Continued)</w:t>
                  <w:tab/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-1pt;margin-top:37.324116pt;width:245.7pt;height:32.0500pt;mso-position-horizontal-relative:page;mso-position-vertical-relative:page;z-index:-8080" type="#_x0000_t202" filled="false" stroked="false">
          <v:textbox inset="0,0,0,0">
            <w:txbxContent>
              <w:p>
                <w:pPr>
                  <w:tabs>
                    <w:tab w:pos="1037" w:val="left" w:leader="none"/>
                    <w:tab w:pos="4893" w:val="left" w:leader="none"/>
                  </w:tabs>
                  <w:spacing w:before="15"/>
                  <w:ind w:left="20" w:right="0" w:firstLine="0"/>
                  <w:jc w:val="left"/>
                  <w:rPr>
                    <w:rFonts w:ascii="Dax Offc Medium"/>
                    <w:sz w:val="48"/>
                  </w:rPr>
                </w:pPr>
                <w:r>
                  <w:rPr>
                    <w:rFonts w:ascii="Dax Offc Medium"/>
                    <w:color w:val="FFFFFF"/>
                    <w:sz w:val="48"/>
                    <w:shd w:fill="E27C3A" w:color="auto" w:val="clear"/>
                  </w:rPr>
                  <w:t> </w:t>
                  <w:tab/>
                  <w:t>Part 2 -</w:t>
                </w:r>
                <w:r>
                  <w:rPr>
                    <w:rFonts w:ascii="Dax Offc Medium"/>
                    <w:color w:val="FFFFFF"/>
                    <w:spacing w:val="-7"/>
                    <w:sz w:val="48"/>
                    <w:shd w:fill="E27C3A" w:color="auto" w:val="clear"/>
                  </w:rPr>
                  <w:t> </w:t>
                </w:r>
                <w:r>
                  <w:rPr>
                    <w:rFonts w:ascii="Dax Offc Medium"/>
                    <w:color w:val="FFFFFF"/>
                    <w:sz w:val="48"/>
                    <w:shd w:fill="E27C3A" w:color="auto" w:val="clear"/>
                  </w:rPr>
                  <w:t>Products</w:t>
                  <w:tab/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-1pt;margin-top:37.324116pt;width:256.05pt;height:32.0500pt;mso-position-horizontal-relative:page;mso-position-vertical-relative:page;z-index:-8056" type="#_x0000_t202" filled="false" stroked="false">
          <v:textbox inset="0,0,0,0">
            <w:txbxContent>
              <w:p>
                <w:pPr>
                  <w:tabs>
                    <w:tab w:pos="1037" w:val="left" w:leader="none"/>
                    <w:tab w:pos="5100" w:val="left" w:leader="none"/>
                  </w:tabs>
                  <w:spacing w:before="15"/>
                  <w:ind w:left="20" w:right="0" w:firstLine="0"/>
                  <w:jc w:val="left"/>
                  <w:rPr>
                    <w:rFonts w:ascii="Dax Offc Medium"/>
                    <w:sz w:val="48"/>
                  </w:rPr>
                </w:pPr>
                <w:r>
                  <w:rPr>
                    <w:rFonts w:ascii="Dax Offc Medium"/>
                    <w:color w:val="FFFFFF"/>
                    <w:sz w:val="48"/>
                    <w:shd w:fill="E27C3A" w:color="auto" w:val="clear"/>
                  </w:rPr>
                  <w:t> </w:t>
                  <w:tab/>
                  <w:t>Part 3 -</w:t>
                </w:r>
                <w:r>
                  <w:rPr>
                    <w:rFonts w:ascii="Dax Offc Medium"/>
                    <w:color w:val="FFFFFF"/>
                    <w:spacing w:val="-16"/>
                    <w:sz w:val="48"/>
                    <w:shd w:fill="E27C3A" w:color="auto" w:val="clear"/>
                  </w:rPr>
                  <w:t> </w:t>
                </w:r>
                <w:r>
                  <w:rPr>
                    <w:rFonts w:ascii="Dax Offc Medium"/>
                    <w:color w:val="FFFFFF"/>
                    <w:sz w:val="48"/>
                    <w:shd w:fill="E27C3A" w:color="auto" w:val="clear"/>
                  </w:rPr>
                  <w:t>Execution</w:t>
                  <w:tab/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multiLevelType w:val="hybridMultilevel"/>
    <w:lvl w:ilvl="0">
      <w:start w:val="1"/>
      <w:numFmt w:val="upperLetter"/>
      <w:lvlText w:val="%1."/>
      <w:lvlJc w:val="left"/>
      <w:pPr>
        <w:ind w:left="1476" w:hanging="454"/>
        <w:jc w:val="left"/>
      </w:pPr>
      <w:rPr>
        <w:rFonts w:hint="default" w:ascii="Source Sans Pro" w:hAnsi="Source Sans Pro" w:eastAsia="Source Sans Pro" w:cs="Source Sans Pro"/>
        <w:color w:val="231F20"/>
        <w:spacing w:val="-26"/>
        <w:w w:val="97"/>
        <w:sz w:val="24"/>
        <w:szCs w:val="24"/>
      </w:rPr>
    </w:lvl>
    <w:lvl w:ilvl="1">
      <w:start w:val="0"/>
      <w:numFmt w:val="bullet"/>
      <w:lvlText w:val="•"/>
      <w:lvlJc w:val="left"/>
      <w:pPr>
        <w:ind w:left="2456" w:hanging="45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433" w:hanging="45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09" w:hanging="45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386" w:hanging="45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362" w:hanging="45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339" w:hanging="45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315" w:hanging="45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292" w:hanging="454"/>
      </w:pPr>
      <w:rPr>
        <w:rFonts w:hint="default"/>
      </w:rPr>
    </w:lvl>
  </w:abstractNum>
  <w:abstractNum w:abstractNumId="9">
    <w:multiLevelType w:val="hybridMultilevel"/>
    <w:lvl w:ilvl="0">
      <w:start w:val="1"/>
      <w:numFmt w:val="upperLetter"/>
      <w:lvlText w:val="%1."/>
      <w:lvlJc w:val="left"/>
      <w:pPr>
        <w:ind w:left="1471" w:hanging="454"/>
        <w:jc w:val="left"/>
      </w:pPr>
      <w:rPr>
        <w:rFonts w:hint="default" w:ascii="Source Sans Pro" w:hAnsi="Source Sans Pro" w:eastAsia="Source Sans Pro" w:cs="Source Sans Pro"/>
        <w:color w:val="231F20"/>
        <w:spacing w:val="-7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2456" w:hanging="45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433" w:hanging="45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09" w:hanging="45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386" w:hanging="45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362" w:hanging="45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339" w:hanging="45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315" w:hanging="45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292" w:hanging="454"/>
      </w:pPr>
      <w:rPr>
        <w:rFonts w:hint="default"/>
      </w:rPr>
    </w:lvl>
  </w:abstractNum>
  <w:abstractNum w:abstractNumId="8">
    <w:multiLevelType w:val="hybridMultilevel"/>
    <w:lvl w:ilvl="0">
      <w:start w:val="1"/>
      <w:numFmt w:val="upperLetter"/>
      <w:lvlText w:val="%1."/>
      <w:lvlJc w:val="left"/>
      <w:pPr>
        <w:ind w:left="1484" w:hanging="454"/>
        <w:jc w:val="left"/>
      </w:pPr>
      <w:rPr>
        <w:rFonts w:hint="default" w:ascii="Source Sans Pro" w:hAnsi="Source Sans Pro" w:eastAsia="Source Sans Pro" w:cs="Source Sans Pro"/>
        <w:color w:val="231F20"/>
        <w:spacing w:val="-9"/>
        <w:w w:val="99"/>
        <w:sz w:val="24"/>
        <w:szCs w:val="24"/>
      </w:rPr>
    </w:lvl>
    <w:lvl w:ilvl="1">
      <w:start w:val="0"/>
      <w:numFmt w:val="bullet"/>
      <w:lvlText w:val="•"/>
      <w:lvlJc w:val="left"/>
      <w:pPr>
        <w:ind w:left="2456" w:hanging="45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433" w:hanging="45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09" w:hanging="45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386" w:hanging="45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362" w:hanging="45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339" w:hanging="45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315" w:hanging="45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292" w:hanging="454"/>
      </w:pPr>
      <w:rPr>
        <w:rFonts w:hint="default"/>
      </w:rPr>
    </w:lvl>
  </w:abstractNum>
  <w:abstractNum w:abstractNumId="7">
    <w:multiLevelType w:val="hybridMultilevel"/>
    <w:lvl w:ilvl="0">
      <w:start w:val="1"/>
      <w:numFmt w:val="upperLetter"/>
      <w:lvlText w:val="%1."/>
      <w:lvlJc w:val="left"/>
      <w:pPr>
        <w:ind w:left="1484" w:hanging="454"/>
        <w:jc w:val="left"/>
      </w:pPr>
      <w:rPr>
        <w:rFonts w:hint="default" w:ascii="Source Sans Pro" w:hAnsi="Source Sans Pro" w:eastAsia="Source Sans Pro" w:cs="Source Sans Pro"/>
        <w:color w:val="231F20"/>
        <w:spacing w:val="-19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2456" w:hanging="45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433" w:hanging="45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09" w:hanging="45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386" w:hanging="45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362" w:hanging="45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339" w:hanging="45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315" w:hanging="45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292" w:hanging="454"/>
      </w:pPr>
      <w:rPr>
        <w:rFonts w:hint="default"/>
      </w:rPr>
    </w:lvl>
  </w:abstractNum>
  <w:abstractNum w:abstractNumId="6">
    <w:multiLevelType w:val="hybridMultilevel"/>
    <w:lvl w:ilvl="0">
      <w:start w:val="1"/>
      <w:numFmt w:val="upperLetter"/>
      <w:lvlText w:val="%1."/>
      <w:lvlJc w:val="left"/>
      <w:pPr>
        <w:ind w:left="1472" w:hanging="454"/>
        <w:jc w:val="left"/>
      </w:pPr>
      <w:rPr>
        <w:rFonts w:hint="default" w:ascii="Source Sans Pro" w:hAnsi="Source Sans Pro" w:eastAsia="Source Sans Pro" w:cs="Source Sans Pro"/>
        <w:color w:val="231F20"/>
        <w:spacing w:val="-12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2456" w:hanging="45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433" w:hanging="45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09" w:hanging="45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386" w:hanging="45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362" w:hanging="45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339" w:hanging="45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315" w:hanging="45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292" w:hanging="454"/>
      </w:pPr>
      <w:rPr>
        <w:rFonts w:hint="default"/>
      </w:rPr>
    </w:lvl>
  </w:abstractNum>
  <w:abstractNum w:abstractNumId="5">
    <w:multiLevelType w:val="hybridMultilevel"/>
    <w:lvl w:ilvl="0">
      <w:start w:val="1"/>
      <w:numFmt w:val="upperLetter"/>
      <w:lvlText w:val="%1."/>
      <w:lvlJc w:val="left"/>
      <w:pPr>
        <w:ind w:left="1469" w:hanging="454"/>
        <w:jc w:val="left"/>
      </w:pPr>
      <w:rPr>
        <w:rFonts w:hint="default" w:ascii="Source Sans Pro" w:hAnsi="Source Sans Pro" w:eastAsia="Source Sans Pro" w:cs="Source Sans Pro"/>
        <w:color w:val="231F20"/>
        <w:spacing w:val="-6"/>
        <w:w w:val="100"/>
        <w:sz w:val="24"/>
        <w:szCs w:val="24"/>
      </w:rPr>
    </w:lvl>
    <w:lvl w:ilvl="1">
      <w:start w:val="1"/>
      <w:numFmt w:val="decimal"/>
      <w:lvlText w:val="%2."/>
      <w:lvlJc w:val="left"/>
      <w:pPr>
        <w:ind w:left="1736" w:hanging="324"/>
        <w:jc w:val="left"/>
      </w:pPr>
      <w:rPr>
        <w:rFonts w:hint="default" w:ascii="Source Sans Pro" w:hAnsi="Source Sans Pro" w:eastAsia="Source Sans Pro" w:cs="Source Sans Pro"/>
        <w:color w:val="231F20"/>
        <w:spacing w:val="-7"/>
        <w:w w:val="100"/>
        <w:sz w:val="24"/>
        <w:szCs w:val="24"/>
      </w:rPr>
    </w:lvl>
    <w:lvl w:ilvl="2">
      <w:start w:val="0"/>
      <w:numFmt w:val="bullet"/>
      <w:lvlText w:val="•"/>
      <w:lvlJc w:val="left"/>
      <w:pPr>
        <w:ind w:left="2796" w:hanging="32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852" w:hanging="32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908" w:hanging="32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964" w:hanging="32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020" w:hanging="32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077" w:hanging="32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133" w:hanging="324"/>
      </w:pPr>
      <w:rPr>
        <w:rFonts w:hint="default"/>
      </w:rPr>
    </w:lvl>
  </w:abstractNum>
  <w:abstractNum w:abstractNumId="4">
    <w:multiLevelType w:val="hybridMultilevel"/>
    <w:lvl w:ilvl="0">
      <w:start w:val="1"/>
      <w:numFmt w:val="upperLetter"/>
      <w:lvlText w:val="%1."/>
      <w:lvlJc w:val="left"/>
      <w:pPr>
        <w:ind w:left="1469" w:hanging="454"/>
        <w:jc w:val="left"/>
      </w:pPr>
      <w:rPr>
        <w:rFonts w:hint="default" w:ascii="Source Sans Pro" w:hAnsi="Source Sans Pro" w:eastAsia="Source Sans Pro" w:cs="Source Sans Pro"/>
        <w:color w:val="231F20"/>
        <w:spacing w:val="-3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2438" w:hanging="45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417" w:hanging="45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395" w:hanging="45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374" w:hanging="45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352" w:hanging="45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331" w:hanging="45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309" w:hanging="45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288" w:hanging="454"/>
      </w:pPr>
      <w:rPr>
        <w:rFonts w:hint="default"/>
      </w:rPr>
    </w:lvl>
  </w:abstractNum>
  <w:abstractNum w:abstractNumId="3">
    <w:multiLevelType w:val="hybridMultilevel"/>
    <w:lvl w:ilvl="0">
      <w:start w:val="1"/>
      <w:numFmt w:val="upperLetter"/>
      <w:lvlText w:val="%1."/>
      <w:lvlJc w:val="left"/>
      <w:pPr>
        <w:ind w:left="1471" w:hanging="454"/>
        <w:jc w:val="left"/>
      </w:pPr>
      <w:rPr>
        <w:rFonts w:hint="default" w:ascii="Source Sans Pro" w:hAnsi="Source Sans Pro" w:eastAsia="Source Sans Pro" w:cs="Source Sans Pro"/>
        <w:color w:val="231F20"/>
        <w:spacing w:val="-6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2456" w:hanging="45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433" w:hanging="45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09" w:hanging="45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386" w:hanging="45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362" w:hanging="45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339" w:hanging="45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315" w:hanging="45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292" w:hanging="454"/>
      </w:pPr>
      <w:rPr>
        <w:rFonts w:hint="default"/>
      </w:rPr>
    </w:lvl>
  </w:abstractNum>
  <w:abstractNum w:abstractNumId="2">
    <w:multiLevelType w:val="hybridMultilevel"/>
    <w:lvl w:ilvl="0">
      <w:start w:val="1"/>
      <w:numFmt w:val="upperLetter"/>
      <w:lvlText w:val="%1."/>
      <w:lvlJc w:val="left"/>
      <w:pPr>
        <w:ind w:left="1485" w:hanging="454"/>
        <w:jc w:val="left"/>
      </w:pPr>
      <w:rPr>
        <w:rFonts w:hint="default" w:ascii="Source Sans Pro" w:hAnsi="Source Sans Pro" w:eastAsia="Source Sans Pro" w:cs="Source Sans Pro"/>
        <w:color w:val="231F20"/>
        <w:spacing w:val="-3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2456" w:hanging="45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433" w:hanging="45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09" w:hanging="45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386" w:hanging="45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362" w:hanging="45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339" w:hanging="45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315" w:hanging="45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292" w:hanging="454"/>
      </w:pPr>
      <w:rPr>
        <w:rFonts w:hint="default"/>
      </w:rPr>
    </w:lvl>
  </w:abstractNum>
  <w:abstractNum w:abstractNumId="1">
    <w:multiLevelType w:val="hybridMultilevel"/>
    <w:lvl w:ilvl="0">
      <w:start w:val="1"/>
      <w:numFmt w:val="upperLetter"/>
      <w:lvlText w:val="%1."/>
      <w:lvlJc w:val="left"/>
      <w:pPr>
        <w:ind w:left="1471" w:hanging="454"/>
        <w:jc w:val="left"/>
      </w:pPr>
      <w:rPr>
        <w:rFonts w:hint="default" w:ascii="Source Sans Pro" w:hAnsi="Source Sans Pro" w:eastAsia="Source Sans Pro" w:cs="Source Sans Pro"/>
        <w:color w:val="231F20"/>
        <w:spacing w:val="-6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831" w:hanging="45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82" w:hanging="45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534" w:hanging="45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885" w:hanging="45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37" w:hanging="45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588" w:hanging="45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939" w:hanging="45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291" w:hanging="454"/>
      </w:pPr>
      <w:rPr>
        <w:rFonts w:hint="default"/>
      </w:rPr>
    </w:lvl>
  </w:abstractNum>
  <w:abstractNum w:abstractNumId="0">
    <w:multiLevelType w:val="hybridMultilevel"/>
    <w:lvl w:ilvl="0">
      <w:start w:val="1"/>
      <w:numFmt w:val="upperLetter"/>
      <w:lvlText w:val="%1."/>
      <w:lvlJc w:val="left"/>
      <w:pPr>
        <w:ind w:left="1472" w:hanging="454"/>
        <w:jc w:val="left"/>
      </w:pPr>
      <w:rPr>
        <w:rFonts w:hint="default" w:ascii="Source Sans Pro" w:hAnsi="Source Sans Pro" w:eastAsia="Source Sans Pro" w:cs="Source Sans Pro"/>
        <w:color w:val="231F20"/>
        <w:spacing w:val="-7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2456" w:hanging="45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433" w:hanging="45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09" w:hanging="45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386" w:hanging="45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362" w:hanging="45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339" w:hanging="45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315" w:hanging="45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292" w:hanging="454"/>
      </w:pPr>
      <w:rPr>
        <w:rFonts w:hint="default"/>
      </w:rPr>
    </w:lvl>
  </w:abstract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Source Sans Pro" w:hAnsi="Source Sans Pro" w:eastAsia="Source Sans Pro" w:cs="Source Sans Pro"/>
    </w:rPr>
  </w:style>
  <w:style w:styleId="BodyText" w:type="paragraph">
    <w:name w:val="Body Text"/>
    <w:basedOn w:val="Normal"/>
    <w:uiPriority w:val="1"/>
    <w:qFormat/>
    <w:pPr/>
    <w:rPr>
      <w:rFonts w:ascii="Source Sans Pro" w:hAnsi="Source Sans Pro" w:eastAsia="Source Sans Pro" w:cs="Source Sans Pro"/>
      <w:sz w:val="24"/>
      <w:szCs w:val="24"/>
    </w:rPr>
  </w:style>
  <w:style w:styleId="Heading1" w:type="paragraph">
    <w:name w:val="Heading 1"/>
    <w:basedOn w:val="Normal"/>
    <w:uiPriority w:val="1"/>
    <w:qFormat/>
    <w:pPr>
      <w:spacing w:before="15"/>
      <w:ind w:left="20"/>
      <w:outlineLvl w:val="1"/>
    </w:pPr>
    <w:rPr>
      <w:rFonts w:ascii="Dax Offc Medium" w:hAnsi="Dax Offc Medium" w:eastAsia="Dax Offc Medium" w:cs="Dax Offc Medium"/>
      <w:sz w:val="48"/>
      <w:szCs w:val="48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Source Sans Pro" w:hAnsi="Source Sans Pro" w:eastAsia="Source Sans Pro" w:cs="Source Sans Pro"/>
      <w:sz w:val="36"/>
      <w:szCs w:val="36"/>
    </w:rPr>
  </w:style>
  <w:style w:styleId="ListParagraph" w:type="paragraph">
    <w:name w:val="List Paragraph"/>
    <w:basedOn w:val="Normal"/>
    <w:uiPriority w:val="1"/>
    <w:qFormat/>
    <w:pPr>
      <w:ind w:left="1471" w:hanging="454"/>
    </w:pPr>
    <w:rPr>
      <w:rFonts w:ascii="Source Sans Pro" w:hAnsi="Source Sans Pro" w:eastAsia="Source Sans Pro" w:cs="Source Sans Pro"/>
    </w:rPr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www.warmup.com/" TargetMode="External"/><Relationship Id="rId18" Type="http://schemas.openxmlformats.org/officeDocument/2006/relationships/header" Target="header3.xml"/><Relationship Id="rId3" Type="http://schemas.openxmlformats.org/officeDocument/2006/relationships/theme" Target="theme/theme1.xml"/><Relationship Id="rId21" Type="http://schemas.openxmlformats.org/officeDocument/2006/relationships/numbering" Target="numbering.xml"/><Relationship Id="rId7" Type="http://schemas.openxmlformats.org/officeDocument/2006/relationships/image" Target="media/image3.png"/><Relationship Id="rId12" Type="http://schemas.openxmlformats.org/officeDocument/2006/relationships/hyperlink" Target="mailto:ussales@warmup.com" TargetMode="External"/><Relationship Id="rId17" Type="http://schemas.openxmlformats.org/officeDocument/2006/relationships/header" Target="header2.xml"/><Relationship Id="rId2" Type="http://schemas.openxmlformats.org/officeDocument/2006/relationships/fontTable" Target="fontTable.xml"/><Relationship Id="rId16" Type="http://schemas.openxmlformats.org/officeDocument/2006/relationships/footer" Target="footer1.xml"/><Relationship Id="rId20" Type="http://schemas.openxmlformats.org/officeDocument/2006/relationships/header" Target="header4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customXml" Target="../customXml/item3.xml"/><Relationship Id="rId5" Type="http://schemas.openxmlformats.org/officeDocument/2006/relationships/image" Target="media/image1.png"/><Relationship Id="rId15" Type="http://schemas.openxmlformats.org/officeDocument/2006/relationships/header" Target="header1.xml"/><Relationship Id="rId23" Type="http://schemas.openxmlformats.org/officeDocument/2006/relationships/customXml" Target="../customXml/item2.xml"/><Relationship Id="rId10" Type="http://schemas.openxmlformats.org/officeDocument/2006/relationships/image" Target="media/image6.png"/><Relationship Id="rId19" Type="http://schemas.openxmlformats.org/officeDocument/2006/relationships/hyperlink" Target="http://www.warmup.com/www.warmup.c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hyperlink" Target="http://www.warmup.ca/" TargetMode="External"/><Relationship Id="rId22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15D81E1D9D68F43A8ABF83AF5B6DCCD" ma:contentTypeVersion="11" ma:contentTypeDescription="Create a new document." ma:contentTypeScope="" ma:versionID="701450815b82188e99dcd5b1d0284f4f">
  <xsd:schema xmlns:xsd="http://www.w3.org/2001/XMLSchema" xmlns:xs="http://www.w3.org/2001/XMLSchema" xmlns:p="http://schemas.microsoft.com/office/2006/metadata/properties" xmlns:ns2="9f1ca222-7366-4179-a1b8-e862700b334b" xmlns:ns3="9064818f-ac7c-49da-b32c-5334e9b30bc3" targetNamespace="http://schemas.microsoft.com/office/2006/metadata/properties" ma:root="true" ma:fieldsID="f424c6b06ad861ebfaa5266a47c97b76" ns2:_="" ns3:_="">
    <xsd:import namespace="9f1ca222-7366-4179-a1b8-e862700b334b"/>
    <xsd:import namespace="9064818f-ac7c-49da-b32c-5334e9b30bc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1ca222-7366-4179-a1b8-e862700b334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64818f-ac7c-49da-b32c-5334e9b30bc3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17674DE-5CEB-476F-B78A-5D90FF2C6F3E}"/>
</file>

<file path=customXml/itemProps2.xml><?xml version="1.0" encoding="utf-8"?>
<ds:datastoreItem xmlns:ds="http://schemas.openxmlformats.org/officeDocument/2006/customXml" ds:itemID="{8C6844C1-F234-4D99-8E08-E7F326CA8037}"/>
</file>

<file path=customXml/itemProps3.xml><?xml version="1.0" encoding="utf-8"?>
<ds:datastoreItem xmlns:ds="http://schemas.openxmlformats.org/officeDocument/2006/customXml" ds:itemID="{90349F8D-0791-4DB1-BCC1-D2EFEE8DDBE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2018-05-31T16:19:04Z</dcterms:created>
  <dcterms:modified xsi:type="dcterms:W3CDTF">2018-05-31T16:19:04Z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2017-03-31T00:00:00Z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2018-05-31T00:00:00Z</vt:filetime>
  </property>
  <property fmtid="{D5CDD505-2E9C-101B-9397-08002B2CF9AE}" pid="5" name="ContentTypeId">
    <vt:lpwstr>0x010100615D81E1D9D68F43A8ABF83AF5B6DCCD</vt:lpwstr>
  </property>
</Properties>
</file>